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bCs/>
          <w:strike/>
          <w:dstrike w:val="0"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spacing w:line="600" w:lineRule="auto"/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现代学徒制</w:t>
      </w: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计算机应用技术</w:t>
      </w:r>
      <w:r>
        <w:rPr>
          <w:rFonts w:hint="eastAsia" w:ascii="黑体" w:hAnsi="黑体" w:eastAsia="黑体"/>
          <w:b/>
          <w:sz w:val="48"/>
          <w:szCs w:val="48"/>
        </w:rPr>
        <w:t>专业2023级人才培养方案</w:t>
      </w:r>
    </w:p>
    <w:p>
      <w:pPr>
        <w:spacing w:line="600" w:lineRule="auto"/>
        <w:jc w:val="center"/>
        <w:rPr>
          <w:rFonts w:hint="eastAsia" w:ascii="黑体" w:hAnsi="黑体" w:eastAsia="黑体"/>
          <w:b/>
          <w:sz w:val="48"/>
          <w:szCs w:val="48"/>
        </w:rPr>
      </w:pPr>
    </w:p>
    <w:p>
      <w:pPr>
        <w:spacing w:line="600" w:lineRule="auto"/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企业：惠州市工程建设项目咨询管理</w:t>
      </w:r>
    </w:p>
    <w:p>
      <w:pPr>
        <w:spacing w:line="600" w:lineRule="auto"/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有限公司第四分公司</w:t>
      </w:r>
    </w:p>
    <w:p>
      <w:pPr>
        <w:spacing w:line="600" w:lineRule="auto"/>
        <w:jc w:val="center"/>
        <w:rPr>
          <w:rFonts w:hint="eastAsia" w:ascii="黑体" w:hAnsi="黑体" w:eastAsia="黑体"/>
          <w:b/>
          <w:sz w:val="48"/>
          <w:szCs w:val="48"/>
        </w:rPr>
      </w:pPr>
    </w:p>
    <w:p>
      <w:pPr>
        <w:spacing w:line="600" w:lineRule="auto"/>
        <w:ind w:leftChars="200"/>
        <w:jc w:val="left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学校：惠州工程职业学院</w:t>
      </w: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计算机应用技术</w:t>
      </w:r>
      <w:r>
        <w:rPr>
          <w:rFonts w:hint="eastAsia" w:ascii="黑体" w:hAnsi="黑体" w:eastAsia="黑体"/>
          <w:b/>
          <w:sz w:val="48"/>
          <w:szCs w:val="48"/>
        </w:rPr>
        <w:t>专业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="宋体"/>
          <w:b/>
          <w:sz w:val="44"/>
          <w:szCs w:val="44"/>
        </w:rPr>
        <w:t>2022</w:t>
      </w:r>
      <w:r>
        <w:rPr>
          <w:rFonts w:hint="eastAsia" w:ascii="宋体"/>
          <w:b/>
          <w:sz w:val="44"/>
          <w:szCs w:val="44"/>
        </w:rPr>
        <w:t>年6月制订</w:t>
      </w:r>
    </w:p>
    <w:p>
      <w:pPr>
        <w:widowControl/>
        <w:jc w:val="both"/>
        <w:rPr>
          <w:rFonts w:ascii="宋体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ascii="宋体"/>
          <w:b/>
          <w:sz w:val="13"/>
          <w:szCs w:val="13"/>
        </w:rPr>
      </w:pPr>
    </w:p>
    <w:sdt>
      <w:sdtPr>
        <w:rPr>
          <w:rFonts w:ascii="Calibri" w:hAnsi="Calibri" w:eastAsia="宋体" w:cs="Calibri"/>
          <w:bCs w:val="0"/>
          <w:color w:val="auto"/>
          <w:kern w:val="2"/>
          <w:sz w:val="21"/>
          <w:szCs w:val="21"/>
          <w:lang w:val="zh-CN"/>
        </w:rPr>
        <w:id w:val="-39896275"/>
        <w:docPartObj>
          <w:docPartGallery w:val="Table of Contents"/>
          <w:docPartUnique/>
        </w:docPartObj>
      </w:sdtPr>
      <w:sdtEndPr>
        <w:rPr>
          <w:rFonts w:ascii="Calibri" w:hAnsi="Calibri" w:eastAsia="宋体" w:cs="Calibri"/>
          <w:b/>
          <w:bCs w:val="0"/>
          <w:color w:val="auto"/>
          <w:kern w:val="2"/>
          <w:sz w:val="21"/>
          <w:szCs w:val="21"/>
          <w:lang w:val="zh-CN"/>
        </w:rPr>
      </w:sdtEndPr>
      <w:sdtContent>
        <w:p>
          <w:pPr>
            <w:pStyle w:val="31"/>
            <w:ind w:firstLine="420"/>
            <w:jc w:val="center"/>
            <w:rPr>
              <w:b/>
              <w:sz w:val="44"/>
              <w:szCs w:val="44"/>
            </w:rPr>
          </w:pPr>
          <w:bookmarkStart w:id="15" w:name="_GoBack"/>
          <w:bookmarkEnd w:id="15"/>
          <w:r>
            <w:rPr>
              <w:b/>
              <w:sz w:val="44"/>
              <w:szCs w:val="44"/>
              <w:lang w:val="zh-CN"/>
            </w:rPr>
            <w:t>目录</w:t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"_Toc106272291" </w:instrText>
          </w:r>
          <w:r>
            <w:fldChar w:fldCharType="separate"/>
          </w:r>
          <w:r>
            <w:rPr>
              <w:rStyle w:val="21"/>
              <w:rFonts w:hint="eastAsia"/>
            </w:rPr>
            <w:t>一、专业名称及代码</w:t>
          </w:r>
          <w:r>
            <w:tab/>
          </w:r>
          <w:r>
            <w:fldChar w:fldCharType="begin"/>
          </w:r>
          <w:r>
            <w:instrText xml:space="preserve"> PAGEREF _Toc106272291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"_Toc106272292" </w:instrText>
          </w:r>
          <w:r>
            <w:fldChar w:fldCharType="separate"/>
          </w:r>
          <w:r>
            <w:rPr>
              <w:rStyle w:val="21"/>
              <w:rFonts w:hint="eastAsia"/>
            </w:rPr>
            <w:t>二、招生对象、招生与招工方式</w:t>
          </w:r>
          <w:r>
            <w:tab/>
          </w:r>
          <w:r>
            <w:fldChar w:fldCharType="begin"/>
          </w:r>
          <w:r>
            <w:instrText xml:space="preserve"> PAGEREF _Toc106272292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"_Toc106272293" </w:instrText>
          </w:r>
          <w:r>
            <w:fldChar w:fldCharType="separate"/>
          </w:r>
          <w:r>
            <w:rPr>
              <w:rStyle w:val="21"/>
              <w:rFonts w:hint="eastAsia"/>
            </w:rPr>
            <w:t>三、基本学制与学历</w:t>
          </w:r>
          <w:r>
            <w:tab/>
          </w:r>
          <w:r>
            <w:fldChar w:fldCharType="begin"/>
          </w:r>
          <w:r>
            <w:instrText xml:space="preserve"> PAGEREF _Toc106272293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"_Toc106272294" </w:instrText>
          </w:r>
          <w:r>
            <w:fldChar w:fldCharType="separate"/>
          </w:r>
          <w:r>
            <w:rPr>
              <w:rStyle w:val="21"/>
              <w:rFonts w:hint="eastAsia"/>
            </w:rPr>
            <w:t>四、培养目标</w:t>
          </w:r>
          <w:r>
            <w:tab/>
          </w:r>
          <w:r>
            <w:fldChar w:fldCharType="begin"/>
          </w:r>
          <w:r>
            <w:instrText xml:space="preserve"> PAGEREF _Toc106272294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"_Toc106272295" </w:instrText>
          </w:r>
          <w:r>
            <w:fldChar w:fldCharType="separate"/>
          </w:r>
          <w:r>
            <w:rPr>
              <w:rStyle w:val="21"/>
              <w:rFonts w:hint="eastAsia"/>
            </w:rPr>
            <w:t>五、培养方式</w:t>
          </w:r>
          <w:r>
            <w:tab/>
          </w:r>
          <w:r>
            <w:fldChar w:fldCharType="begin"/>
          </w:r>
          <w:r>
            <w:instrText xml:space="preserve"> PAGEREF _Toc106272295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"_Toc106272296" </w:instrText>
          </w:r>
          <w:r>
            <w:fldChar w:fldCharType="separate"/>
          </w:r>
          <w:r>
            <w:rPr>
              <w:rStyle w:val="21"/>
              <w:rFonts w:hint="eastAsia"/>
            </w:rPr>
            <w:t>六、职业范围</w:t>
          </w:r>
          <w:r>
            <w:tab/>
          </w:r>
          <w:r>
            <w:fldChar w:fldCharType="begin"/>
          </w:r>
          <w:r>
            <w:instrText xml:space="preserve"> PAGEREF _Toc106272296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"_Toc106272297" </w:instrText>
          </w:r>
          <w:r>
            <w:fldChar w:fldCharType="separate"/>
          </w:r>
          <w:r>
            <w:rPr>
              <w:rStyle w:val="21"/>
              <w:rFonts w:hint="eastAsia"/>
            </w:rPr>
            <w:t>七、人才规格</w:t>
          </w:r>
          <w:r>
            <w:tab/>
          </w:r>
          <w:r>
            <w:fldChar w:fldCharType="begin"/>
          </w:r>
          <w:r>
            <w:instrText xml:space="preserve"> PAGEREF _Toc106272297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"_Toc106272298" </w:instrText>
          </w:r>
          <w:r>
            <w:fldChar w:fldCharType="separate"/>
          </w:r>
          <w:r>
            <w:rPr>
              <w:rStyle w:val="21"/>
              <w:rFonts w:hint="eastAsia"/>
            </w:rPr>
            <w:t>八、典型工作任务及职业能力分析</w:t>
          </w:r>
          <w:r>
            <w:tab/>
          </w:r>
          <w:r>
            <w:fldChar w:fldCharType="begin"/>
          </w:r>
          <w:r>
            <w:instrText xml:space="preserve"> PAGEREF _Toc106272298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"_Toc106272299" </w:instrText>
          </w:r>
          <w:r>
            <w:fldChar w:fldCharType="separate"/>
          </w:r>
          <w:r>
            <w:rPr>
              <w:rStyle w:val="21"/>
              <w:rFonts w:hint="eastAsia"/>
            </w:rPr>
            <w:t>九、课程结构</w:t>
          </w:r>
          <w:r>
            <w:tab/>
          </w:r>
          <w:r>
            <w:fldChar w:fldCharType="begin"/>
          </w:r>
          <w:r>
            <w:instrText xml:space="preserve"> PAGEREF _Toc106272299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"_Toc106272300" </w:instrText>
          </w:r>
          <w:r>
            <w:fldChar w:fldCharType="separate"/>
          </w:r>
          <w:r>
            <w:rPr>
              <w:rStyle w:val="21"/>
              <w:rFonts w:hint="eastAsia"/>
            </w:rPr>
            <w:t>十、课程内容及要求</w:t>
          </w:r>
          <w:r>
            <w:tab/>
          </w:r>
          <w:r>
            <w:fldChar w:fldCharType="begin"/>
          </w:r>
          <w:r>
            <w:instrText xml:space="preserve"> PAGEREF _Toc106272300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"_Toc106272301" </w:instrText>
          </w:r>
          <w:r>
            <w:fldChar w:fldCharType="separate"/>
          </w:r>
          <w:r>
            <w:rPr>
              <w:rStyle w:val="21"/>
              <w:rFonts w:hint="eastAsia"/>
            </w:rPr>
            <w:t>十一、教学安排</w:t>
          </w:r>
          <w:r>
            <w:tab/>
          </w:r>
          <w:r>
            <w:fldChar w:fldCharType="begin"/>
          </w:r>
          <w:r>
            <w:instrText xml:space="preserve"> PAGEREF _Toc106272301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"_Toc106272302" </w:instrText>
          </w:r>
          <w:r>
            <w:fldChar w:fldCharType="separate"/>
          </w:r>
          <w:r>
            <w:rPr>
              <w:rStyle w:val="21"/>
              <w:rFonts w:hint="eastAsia"/>
            </w:rPr>
            <w:t>十二、教学基本条件</w:t>
          </w:r>
          <w:r>
            <w:tab/>
          </w:r>
          <w:r>
            <w:fldChar w:fldCharType="begin"/>
          </w:r>
          <w:r>
            <w:instrText xml:space="preserve"> PAGEREF _Toc106272302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"_Toc106272303" </w:instrText>
          </w:r>
          <w:r>
            <w:fldChar w:fldCharType="separate"/>
          </w:r>
          <w:r>
            <w:rPr>
              <w:rStyle w:val="21"/>
              <w:rFonts w:hint="eastAsia"/>
            </w:rPr>
            <w:t>十三、教学实施建议</w:t>
          </w:r>
          <w:r>
            <w:tab/>
          </w:r>
          <w:r>
            <w:fldChar w:fldCharType="begin"/>
          </w:r>
          <w:r>
            <w:instrText xml:space="preserve"> PAGEREF _Toc106272303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"_Toc106272304" </w:instrText>
          </w:r>
          <w:r>
            <w:fldChar w:fldCharType="separate"/>
          </w:r>
          <w:r>
            <w:rPr>
              <w:rStyle w:val="21"/>
              <w:rFonts w:hint="eastAsia"/>
            </w:rPr>
            <w:t>十四、毕业要求</w:t>
          </w:r>
          <w:r>
            <w:tab/>
          </w:r>
          <w:r>
            <w:fldChar w:fldCharType="begin"/>
          </w:r>
          <w:r>
            <w:instrText xml:space="preserve"> PAGEREF _Toc106272304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"_Toc106272305" </w:instrText>
          </w:r>
          <w:r>
            <w:fldChar w:fldCharType="separate"/>
          </w:r>
          <w:r>
            <w:rPr>
              <w:rStyle w:val="21"/>
              <w:rFonts w:hint="eastAsia"/>
            </w:rPr>
            <w:t>十五、附录</w:t>
          </w:r>
          <w:r>
            <w:tab/>
          </w:r>
          <w:r>
            <w:fldChar w:fldCharType="begin"/>
          </w:r>
          <w:r>
            <w:instrText xml:space="preserve"> PAGEREF _Toc106272305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r>
            <w:rPr>
              <w:sz w:val="32"/>
            </w:rPr>
            <w:fldChar w:fldCharType="end"/>
          </w:r>
        </w:p>
      </w:sdtContent>
    </w:sdt>
    <w:p>
      <w:pPr>
        <w:widowControl/>
        <w:jc w:val="left"/>
        <w:rPr>
          <w:rFonts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cs="宋体" w:asciiTheme="majorEastAsia" w:hAnsiTheme="majorEastAsia" w:eastAsiaTheme="majorEastAsia"/>
          <w:b/>
          <w:bCs/>
          <w:sz w:val="44"/>
          <w:szCs w:val="44"/>
        </w:rPr>
        <w:br w:type="page"/>
      </w: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现代学徒制计算机应用技术专业</w:t>
      </w:r>
      <w:r>
        <w:rPr>
          <w:rFonts w:cs="黑体" w:asciiTheme="majorEastAsia" w:hAnsiTheme="majorEastAsia" w:eastAsiaTheme="majorEastAsia"/>
          <w:b/>
          <w:bCs/>
          <w:sz w:val="44"/>
          <w:szCs w:val="44"/>
        </w:rPr>
        <w:t>202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3级</w:t>
      </w:r>
    </w:p>
    <w:p>
      <w:pPr>
        <w:spacing w:line="360" w:lineRule="auto"/>
        <w:jc w:val="center"/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人才培养方案</w:t>
      </w:r>
    </w:p>
    <w:p>
      <w:pPr>
        <w:spacing w:line="360" w:lineRule="auto"/>
        <w:ind w:firstLine="1325" w:firstLineChars="300"/>
        <w:jc w:val="left"/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企业：惠州市工程建设项目咨询管理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  <w:lang w:val="en-US" w:eastAsia="zh-CN"/>
        </w:rPr>
        <w:tab/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  <w:lang w:val="en-US" w:eastAsia="zh-CN"/>
        </w:rPr>
        <w:tab/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  <w:lang w:val="en-US" w:eastAsia="zh-CN"/>
        </w:rPr>
        <w:tab/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  <w:lang w:val="en-US" w:eastAsia="zh-CN"/>
        </w:rPr>
        <w:tab/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  <w:lang w:val="en-US" w:eastAsia="zh-CN"/>
        </w:rPr>
        <w:tab/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  <w:lang w:val="en-US" w:eastAsia="zh-CN"/>
        </w:rPr>
        <w:tab/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有限公司第四分公司</w:t>
      </w:r>
    </w:p>
    <w:p>
      <w:pPr>
        <w:spacing w:line="360" w:lineRule="auto"/>
        <w:ind w:left="1260" w:leftChars="600" w:firstLine="0" w:firstLineChars="0"/>
        <w:jc w:val="both"/>
        <w:rPr>
          <w:rFonts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学校：惠州工程职业学院</w:t>
      </w:r>
    </w:p>
    <w:p>
      <w:pPr>
        <w:spacing w:line="360" w:lineRule="auto"/>
        <w:rPr>
          <w:rFonts w:ascii="黑体" w:eastAsia="黑体" w:cs="黑体"/>
          <w:b/>
          <w:bCs/>
          <w:sz w:val="32"/>
          <w:szCs w:val="32"/>
        </w:rPr>
      </w:pPr>
    </w:p>
    <w:p>
      <w:pPr>
        <w:pStyle w:val="3"/>
      </w:pPr>
      <w:bookmarkStart w:id="0" w:name="_Toc106272291"/>
      <w:r>
        <w:rPr>
          <w:rFonts w:hint="eastAsia"/>
        </w:rPr>
        <w:t>一、专业名称及代码</w:t>
      </w:r>
      <w:bookmarkEnd w:id="0"/>
    </w:p>
    <w:p>
      <w:pPr>
        <w:pStyle w:val="11"/>
      </w:pPr>
      <w:r>
        <w:rPr>
          <w:rFonts w:hint="eastAsia"/>
        </w:rPr>
        <w:t>（一）专业名称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计算机应用技术</w:t>
      </w:r>
    </w:p>
    <w:p>
      <w:pPr>
        <w:pStyle w:val="11"/>
      </w:pPr>
      <w:r>
        <w:rPr>
          <w:rFonts w:hint="eastAsia"/>
        </w:rPr>
        <w:t>（二）专业代码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510201</w:t>
      </w:r>
    </w:p>
    <w:p>
      <w:pPr>
        <w:pStyle w:val="3"/>
      </w:pPr>
      <w:bookmarkStart w:id="1" w:name="_Toc106272292"/>
      <w:r>
        <w:rPr>
          <w:rFonts w:hint="eastAsia"/>
        </w:rPr>
        <w:t>二、招生对象、招生与招工方式</w:t>
      </w:r>
      <w:bookmarkEnd w:id="1"/>
    </w:p>
    <w:p>
      <w:pPr>
        <w:ind w:firstLine="602" w:firstLineChars="200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</w:rPr>
        <w:t>招生对象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highlight w:val="none"/>
        </w:rPr>
        <w:t>合作企业在职员工及相关子公司员工。</w:t>
      </w:r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招生与招工方式：</w:t>
      </w:r>
      <w:r>
        <w:rPr>
          <w:rFonts w:hint="eastAsia" w:ascii="仿宋" w:hAnsi="仿宋" w:eastAsia="仿宋"/>
          <w:sz w:val="30"/>
          <w:szCs w:val="30"/>
        </w:rPr>
        <w:t>由企业推荐符合广东省高考报名条件的在职员工报考，企业联合学校共同组织自主招生考试，考试合格后方可录取注册为在校生，实现员工的学生身份。</w:t>
      </w:r>
    </w:p>
    <w:p>
      <w:pPr>
        <w:pStyle w:val="3"/>
      </w:pPr>
      <w:bookmarkStart w:id="2" w:name="_Toc106272293"/>
      <w:r>
        <w:rPr>
          <w:rFonts w:hint="eastAsia"/>
        </w:rPr>
        <w:t>三、基本学制与学历</w:t>
      </w:r>
      <w:bookmarkEnd w:id="2"/>
    </w:p>
    <w:p>
      <w:pPr>
        <w:pStyle w:val="11"/>
      </w:pPr>
      <w:r>
        <w:rPr>
          <w:rFonts w:hint="eastAsia"/>
        </w:rPr>
        <w:t>（一）学制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基本学制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三年</w:t>
      </w:r>
      <w:r>
        <w:rPr>
          <w:rFonts w:hint="eastAsia" w:ascii="仿宋" w:hAnsi="仿宋" w:eastAsia="仿宋"/>
          <w:sz w:val="30"/>
          <w:szCs w:val="30"/>
        </w:rPr>
        <w:t>，实行弹性学制，学生总修业时间（不含休学）不得超过五年。</w:t>
      </w:r>
    </w:p>
    <w:p>
      <w:pPr>
        <w:pStyle w:val="11"/>
      </w:pPr>
      <w:r>
        <w:rPr>
          <w:rFonts w:hint="eastAsia"/>
        </w:rPr>
        <w:t>（二）学历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学生修满学分，并符合毕业条件和要求，可获得高职院校普通专科毕业证书。</w:t>
      </w:r>
    </w:p>
    <w:p>
      <w:pPr>
        <w:pStyle w:val="3"/>
      </w:pPr>
      <w:bookmarkStart w:id="3" w:name="_Toc106272294"/>
      <w:r>
        <w:rPr>
          <w:rFonts w:hint="eastAsia"/>
        </w:rPr>
        <w:t>四、培养目标</w:t>
      </w:r>
      <w:bookmarkEnd w:id="3"/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本专业培养与我国社会主义现代化建设要求相适应，德、智、体、美、劳全面发展，面向合作企业，既能从事操作常见计算机设备与软件的技能（岗位）等工作，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又</w:t>
      </w:r>
      <w:r>
        <w:rPr>
          <w:rFonts w:hint="eastAsia" w:ascii="仿宋" w:hAnsi="仿宋" w:eastAsia="仿宋"/>
          <w:sz w:val="30"/>
          <w:szCs w:val="30"/>
        </w:rPr>
        <w:t>能胜任建筑工程及建筑相关行业的专业技术和管理工作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具有敬业、专注、忠诚、创新的工匠精神，具备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信息处理能力，</w:t>
      </w:r>
      <w:r>
        <w:rPr>
          <w:rFonts w:hint="eastAsia" w:ascii="仿宋" w:hAnsi="仿宋" w:eastAsia="仿宋"/>
          <w:sz w:val="30"/>
          <w:szCs w:val="30"/>
        </w:rPr>
        <w:t>基本的绘图、制图能力，能熟练使用CAD、Photoshop等软件进行绘图，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建筑工程施工和管理</w:t>
      </w:r>
      <w:r>
        <w:rPr>
          <w:rFonts w:hint="eastAsia" w:ascii="仿宋" w:hAnsi="仿宋" w:eastAsia="仿宋"/>
          <w:sz w:val="30"/>
          <w:szCs w:val="30"/>
        </w:rPr>
        <w:t>职业能力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以及自主学习能力，在生产、建设、服务、管理第一线的发展型、复合型和创新型的技术技能人才。</w:t>
      </w:r>
    </w:p>
    <w:p>
      <w:pPr>
        <w:pStyle w:val="3"/>
      </w:pPr>
      <w:bookmarkStart w:id="4" w:name="_Toc106272295"/>
      <w:r>
        <w:rPr>
          <w:rFonts w:hint="eastAsia"/>
        </w:rPr>
        <w:t>五、培养方式</w:t>
      </w:r>
      <w:bookmarkEnd w:id="4"/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校和企业联合招生、联合培养、一体化育人。校企以“合作共赢、职责共担”原则，组建专业指导委员会，定期召开座谈会，共同研制人才培养方案，共同践行“理实互通，素养本位”的人才培养模式。职业院校承担系统的专业知识学习和技术技能训练；企业通过师傅带徒形式，依据培养方案进行岗位技术技能训练，教学任务必须由学校教师和企业师傅共同承担，形成双导师制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实现一体化育人。</w:t>
      </w:r>
    </w:p>
    <w:p>
      <w:pPr>
        <w:pStyle w:val="3"/>
      </w:pPr>
      <w:bookmarkStart w:id="5" w:name="_Toc106272296"/>
      <w:r>
        <w:rPr>
          <w:rFonts w:hint="eastAsia"/>
        </w:rPr>
        <w:t>六、职业范围</w:t>
      </w:r>
      <w:bookmarkEnd w:id="5"/>
    </w:p>
    <w:p>
      <w:pPr>
        <w:pStyle w:val="11"/>
        <w:rPr>
          <w:rFonts w:ascii="宋体" w:cs="Times New Roman"/>
          <w:bCs/>
          <w:sz w:val="28"/>
          <w:szCs w:val="28"/>
        </w:rPr>
      </w:pPr>
      <w:r>
        <w:rPr>
          <w:rFonts w:hint="eastAsia"/>
        </w:rPr>
        <w:t>（一）职业生涯发展路径</w:t>
      </w:r>
    </w:p>
    <w:p>
      <w:pPr>
        <w:jc w:val="center"/>
        <w:rPr>
          <w:rFonts w:ascii="方正小标宋简体" w:hAnsi="黑体" w:eastAsia="方正小标宋简体" w:cs="Times New Roman"/>
          <w:kern w:val="0"/>
        </w:rPr>
      </w:pPr>
      <w:r>
        <w:rPr>
          <w:rFonts w:hint="eastAsia" w:ascii="方正小标宋简体" w:hAnsi="黑体" w:eastAsia="方正小标宋简体" w:cs="方正小标宋简体"/>
          <w:kern w:val="0"/>
          <w:sz w:val="28"/>
          <w:szCs w:val="28"/>
          <w:lang w:val="en-US" w:eastAsia="zh-CN"/>
        </w:rPr>
        <w:t>计算机应用技术</w:t>
      </w:r>
      <w:r>
        <w:rPr>
          <w:rFonts w:hint="eastAsia" w:ascii="方正小标宋简体" w:hAnsi="黑体" w:eastAsia="方正小标宋简体" w:cs="方正小标宋简体"/>
          <w:kern w:val="0"/>
          <w:sz w:val="28"/>
          <w:szCs w:val="28"/>
        </w:rPr>
        <w:t>专业职业生涯发展路径</w:t>
      </w:r>
    </w:p>
    <w:tbl>
      <w:tblPr>
        <w:tblStyle w:val="35"/>
        <w:tblW w:w="5142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931"/>
        <w:gridCol w:w="1399"/>
        <w:gridCol w:w="1373"/>
        <w:gridCol w:w="1099"/>
        <w:gridCol w:w="1044"/>
        <w:gridCol w:w="170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9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发展阶段</w:t>
            </w:r>
          </w:p>
        </w:tc>
        <w:tc>
          <w:tcPr>
            <w:tcW w:w="543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学徒岗位</w:t>
            </w:r>
          </w:p>
        </w:tc>
        <w:tc>
          <w:tcPr>
            <w:tcW w:w="2258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就业岗位</w:t>
            </w:r>
          </w:p>
        </w:tc>
        <w:tc>
          <w:tcPr>
            <w:tcW w:w="609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</w:rPr>
              <w:t>学历层次</w:t>
            </w:r>
          </w:p>
        </w:tc>
        <w:tc>
          <w:tcPr>
            <w:tcW w:w="993" w:type="pct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发展年限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90" w:hRule="atLeast"/>
        </w:trPr>
        <w:tc>
          <w:tcPr>
            <w:tcW w:w="595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3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操作岗位</w:t>
            </w:r>
          </w:p>
        </w:tc>
        <w:tc>
          <w:tcPr>
            <w:tcW w:w="801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技术岗位</w:t>
            </w:r>
          </w:p>
        </w:tc>
        <w:tc>
          <w:tcPr>
            <w:tcW w:w="64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1"/>
                <w:szCs w:val="21"/>
              </w:rPr>
              <w:t>管理岗位</w:t>
            </w:r>
          </w:p>
        </w:tc>
        <w:tc>
          <w:tcPr>
            <w:tcW w:w="609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93" w:type="pct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95" w:type="pct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V</w:t>
            </w:r>
          </w:p>
        </w:tc>
        <w:tc>
          <w:tcPr>
            <w:tcW w:w="543" w:type="pct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  <w:t>项目经理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生产经理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技术总工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商务经理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本科</w:t>
            </w:r>
          </w:p>
        </w:tc>
        <w:tc>
          <w:tcPr>
            <w:tcW w:w="993" w:type="pct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3-5</w:t>
            </w:r>
            <w:r>
              <w:rPr>
                <w:rFonts w:hint="eastAsia" w:ascii="宋体" w:hAnsi="宋体"/>
                <w:highlight w:val="none"/>
              </w:rPr>
              <w:t>年以上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95" w:type="pct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IV</w:t>
            </w:r>
          </w:p>
        </w:tc>
        <w:tc>
          <w:tcPr>
            <w:tcW w:w="543" w:type="pct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  <w:t>项目负责人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施工负责人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技术负责人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预算负责人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高职</w:t>
            </w:r>
          </w:p>
        </w:tc>
        <w:tc>
          <w:tcPr>
            <w:tcW w:w="993" w:type="pct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highlight w:val="none"/>
              </w:rPr>
              <w:t>-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highlight w:val="none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9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= 3 \* ROMAN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III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543" w:type="pct"/>
            <w:vAlign w:val="center"/>
          </w:tcPr>
          <w:p>
            <w:pPr>
              <w:jc w:val="both"/>
              <w:rPr>
                <w:rFonts w:hint="eastAsia" w:ascii="宋体" w:hAnsi="宋体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建筑学徒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施工员/质量员/造价员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技术员/造价员/资料员/质量员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预算员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中职</w:t>
            </w:r>
          </w:p>
        </w:tc>
        <w:tc>
          <w:tcPr>
            <w:tcW w:w="993" w:type="pct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highlight w:val="none"/>
              </w:rPr>
              <w:t>-</w:t>
            </w:r>
            <w:r>
              <w:rPr>
                <w:rFonts w:ascii="宋体" w:hAnsi="宋体"/>
                <w:highlight w:val="none"/>
              </w:rPr>
              <w:t>1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9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= 2 \* ROMAN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II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54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trike/>
                <w:dstrike w:val="0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CAD绘图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trike/>
                <w:dstrike w:val="0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CAD绘图员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trike/>
                <w:dstrike w:val="0"/>
                <w:snapToGrid w:val="0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CAD绘图工程师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产品绘图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项目经理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中职</w:t>
            </w:r>
          </w:p>
        </w:tc>
        <w:tc>
          <w:tcPr>
            <w:tcW w:w="99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学徒期1-6个月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9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</w:t>
            </w:r>
          </w:p>
        </w:tc>
        <w:tc>
          <w:tcPr>
            <w:tcW w:w="54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信息处理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媒体</w:t>
            </w:r>
            <w:r>
              <w:rPr>
                <w:rFonts w:hint="eastAsia" w:ascii="宋体" w:hAnsi="宋体"/>
              </w:rPr>
              <w:t>运营专员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文案策划专员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609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中职</w:t>
            </w:r>
          </w:p>
        </w:tc>
        <w:tc>
          <w:tcPr>
            <w:tcW w:w="99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学徒期0-1个月</w:t>
            </w:r>
          </w:p>
        </w:tc>
      </w:tr>
    </w:tbl>
    <w:p>
      <w:pPr>
        <w:rPr>
          <w:rFonts w:ascii="仿宋_GB2312" w:eastAsia="仿宋_GB2312" w:cs="仿宋_GB2312"/>
          <w:shd w:val="clear" w:color="auto" w:fill="FFFFFF"/>
        </w:rPr>
      </w:pPr>
    </w:p>
    <w:p>
      <w:pPr>
        <w:rPr>
          <w:rFonts w:ascii="仿宋_GB2312" w:eastAsia="仿宋_GB2312" w:cs="Times New Roman"/>
          <w:shd w:val="clear" w:color="auto" w:fill="FFFFFF"/>
        </w:rPr>
      </w:pPr>
      <w:r>
        <w:rPr>
          <w:rFonts w:hint="eastAsia" w:ascii="仿宋_GB2312" w:eastAsia="仿宋_GB2312" w:cs="仿宋_GB2312"/>
          <w:shd w:val="clear" w:color="auto" w:fill="FFFFFF"/>
        </w:rPr>
        <w:t>注：</w:t>
      </w:r>
      <w:r>
        <w:rPr>
          <w:rFonts w:ascii="仿宋_GB2312" w:eastAsia="仿宋_GB2312" w:cs="仿宋_GB2312"/>
          <w:shd w:val="clear" w:color="auto" w:fill="FFFFFF"/>
        </w:rPr>
        <w:t>1.</w:t>
      </w:r>
      <w:r>
        <w:rPr>
          <w:rFonts w:hint="eastAsia" w:ascii="仿宋_GB2312" w:eastAsia="仿宋_GB2312" w:cs="仿宋_GB2312"/>
          <w:shd w:val="clear" w:color="auto" w:fill="FFFFFF"/>
        </w:rPr>
        <w:t>“发展阶段”应依据国家、行业企业的有关规定以及调查分析确定，将职业发展分为若干个阶段，阶段数量因各专业的具体情况而不同。</w:t>
      </w:r>
    </w:p>
    <w:p>
      <w:pPr>
        <w:rPr>
          <w:rFonts w:ascii="仿宋_GB2312" w:eastAsia="仿宋_GB2312" w:cs="Times New Roman"/>
          <w:shd w:val="clear" w:color="auto" w:fill="FFFFFF"/>
        </w:rPr>
      </w:pPr>
      <w:r>
        <w:rPr>
          <w:rFonts w:ascii="仿宋_GB2312" w:eastAsia="仿宋_GB2312" w:cs="仿宋_GB2312"/>
          <w:shd w:val="clear" w:color="auto" w:fill="FFFFFF"/>
        </w:rPr>
        <w:t>2.</w:t>
      </w:r>
      <w:r>
        <w:rPr>
          <w:rFonts w:hint="eastAsia" w:ascii="仿宋_GB2312" w:eastAsia="仿宋_GB2312" w:cs="仿宋_GB2312"/>
          <w:shd w:val="clear" w:color="auto" w:fill="FFFFFF"/>
        </w:rPr>
        <w:t>“就业岗位”的分类仅供参考，各专业可以自行分类。</w:t>
      </w:r>
    </w:p>
    <w:p>
      <w:pPr>
        <w:rPr>
          <w:rFonts w:ascii="仿宋_GB2312" w:eastAsia="仿宋_GB2312" w:cs="Times New Roman"/>
          <w:shd w:val="clear" w:color="auto" w:fill="FFFFFF"/>
        </w:rPr>
      </w:pPr>
      <w:r>
        <w:rPr>
          <w:rFonts w:ascii="仿宋_GB2312" w:eastAsia="仿宋_GB2312" w:cs="仿宋_GB2312"/>
          <w:shd w:val="clear" w:color="auto" w:fill="FFFFFF"/>
        </w:rPr>
        <w:t>3.</w:t>
      </w:r>
      <w:r>
        <w:rPr>
          <w:rFonts w:hint="eastAsia" w:ascii="仿宋_GB2312" w:eastAsia="仿宋_GB2312" w:cs="仿宋_GB2312"/>
          <w:shd w:val="clear" w:color="auto" w:fill="FFFFFF"/>
        </w:rPr>
        <w:t>“学历层次”只是要明确高职对应的层次。</w:t>
      </w:r>
    </w:p>
    <w:p>
      <w:pPr>
        <w:pStyle w:val="11"/>
      </w:pPr>
      <w:r>
        <w:rPr>
          <w:rFonts w:hint="eastAsia"/>
        </w:rPr>
        <w:t>（二）面向职业范围</w:t>
      </w:r>
      <w:r>
        <w:t xml:space="preserve"> </w:t>
      </w:r>
    </w:p>
    <w:tbl>
      <w:tblPr>
        <w:tblStyle w:val="35"/>
        <w:tblW w:w="5034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2204"/>
        <w:gridCol w:w="3264"/>
        <w:gridCol w:w="22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3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20"/>
                <w:szCs w:val="20"/>
              </w:rPr>
              <w:t>对应职业（岗位群）</w:t>
            </w:r>
          </w:p>
        </w:tc>
        <w:tc>
          <w:tcPr>
            <w:tcW w:w="19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  <w:highlight w:val="none"/>
              </w:rPr>
              <w:t>学徒目标方向</w:t>
            </w:r>
          </w:p>
        </w:tc>
        <w:tc>
          <w:tcPr>
            <w:tcW w:w="134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职业资格证书举例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文案策划</w:t>
            </w:r>
          </w:p>
        </w:tc>
        <w:tc>
          <w:tcPr>
            <w:tcW w:w="19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pacing w:val="3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媒体平台运营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办公室文员</w:t>
            </w:r>
          </w:p>
        </w:tc>
        <w:tc>
          <w:tcPr>
            <w:tcW w:w="134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计算机等级证书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0"/>
                <w:szCs w:val="21"/>
                <w:lang w:val="en-US" w:eastAsia="zh-CN"/>
              </w:rPr>
              <w:t>CAD绘图</w:t>
            </w:r>
          </w:p>
        </w:tc>
        <w:tc>
          <w:tcPr>
            <w:tcW w:w="19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0"/>
                <w:szCs w:val="21"/>
                <w:lang w:val="en-US" w:eastAsia="zh-CN"/>
              </w:rPr>
              <w:t>根据需求信息确定产品设计方案，综合设计要求与规范进行设计</w:t>
            </w:r>
          </w:p>
        </w:tc>
        <w:tc>
          <w:tcPr>
            <w:tcW w:w="134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CAD工程师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  <w:t>认证证书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0"/>
                <w:szCs w:val="21"/>
                <w:lang w:val="en-US" w:eastAsia="zh-CN"/>
              </w:rPr>
              <w:t>工程资料员</w:t>
            </w:r>
          </w:p>
        </w:tc>
        <w:tc>
          <w:tcPr>
            <w:tcW w:w="19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0"/>
                <w:szCs w:val="21"/>
                <w:lang w:val="en-US" w:eastAsia="zh-CN"/>
              </w:rPr>
              <w:t>1.设计图的分析、制作、修改、方案改善设计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0"/>
                <w:szCs w:val="21"/>
                <w:lang w:val="en-US" w:eastAsia="zh-CN"/>
              </w:rPr>
              <w:t>2.对各类图纸进行登记、编号、存档</w:t>
            </w:r>
          </w:p>
        </w:tc>
        <w:tc>
          <w:tcPr>
            <w:tcW w:w="134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一级建造师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0"/>
                <w:szCs w:val="21"/>
                <w:lang w:val="en-US" w:eastAsia="zh-CN"/>
              </w:rPr>
              <w:t>项目经理</w:t>
            </w:r>
          </w:p>
        </w:tc>
        <w:tc>
          <w:tcPr>
            <w:tcW w:w="19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0"/>
                <w:szCs w:val="21"/>
                <w:lang w:val="en-US" w:eastAsia="zh-CN"/>
              </w:rPr>
              <w:t>承接工程实施组织、施工、进度控制</w:t>
            </w:r>
          </w:p>
        </w:tc>
        <w:tc>
          <w:tcPr>
            <w:tcW w:w="134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cs="宋体"/>
                <w:lang w:val="en-US" w:eastAsia="zh-CN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87" w:line="610" w:lineRule="exact"/>
        <w:ind w:firstLine="860"/>
        <w:jc w:val="left"/>
        <w:textAlignment w:val="baseline"/>
        <w:rPr>
          <w:rFonts w:ascii="宋体" w:hAnsi="宋体" w:cs="宋体"/>
          <w:sz w:val="28"/>
          <w:szCs w:val="28"/>
        </w:rPr>
      </w:pPr>
      <w:bookmarkStart w:id="6" w:name="_Toc106272297"/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．文案策划专员岗位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6" w:line="342" w:lineRule="auto"/>
        <w:ind w:left="48" w:firstLine="541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6"/>
          <w:szCs w:val="26"/>
          <w:lang w:val="en-US" w:eastAsia="zh-CN"/>
        </w:rPr>
        <w:t xml:space="preserve">负责平台软文以及活动文案策划；针对具体行业和产品方案进行市场营销策划；具有微信公众号等以文字推广为主的平台运营能力。具有良好的市场分析策划能力、协调沟通能力和文字表达能力。 </w:t>
      </w: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2.CAD绘图工程师岗位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6" w:line="342" w:lineRule="auto"/>
        <w:ind w:left="48" w:firstLine="541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6"/>
          <w:szCs w:val="26"/>
          <w:lang w:val="en-US" w:eastAsia="zh-CN"/>
        </w:rPr>
        <w:t>根据客户需求信息确定产品设计方案，综合设计要求与规范进行设计，完成CAD设计图的分析、制作、修改、方案改善设计，按时、保质、保量完成产品绘图，对各类图纸进行登记、编号、存档。</w:t>
      </w:r>
    </w:p>
    <w:p>
      <w:pPr>
        <w:spacing w:line="360" w:lineRule="auto"/>
        <w:ind w:firstLine="544" w:firstLineChars="200"/>
        <w:rPr>
          <w:rFonts w:hint="default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6"/>
          <w:szCs w:val="26"/>
          <w:lang w:val="en-US" w:eastAsia="zh-CN"/>
        </w:rPr>
        <w:t>3.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工程资料员岗位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6" w:line="342" w:lineRule="auto"/>
        <w:ind w:left="48" w:firstLine="541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6"/>
          <w:szCs w:val="26"/>
          <w:lang w:val="en-US" w:eastAsia="zh-CN"/>
        </w:rPr>
        <w:t>负责工程项目的所有图纸的接收、清点、登记、发放、归档、管理工作。收集整理施工过程中所有技术变更、洽商记录、会议纪要等资料并归档。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4.项目经理岗位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6" w:line="342" w:lineRule="auto"/>
        <w:ind w:left="48" w:firstLine="541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spacing w:val="6"/>
          <w:kern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6"/>
          <w:szCs w:val="26"/>
          <w:lang w:val="en-US" w:eastAsia="zh-CN"/>
        </w:rPr>
        <w:t>负责贯彻落实公司的各项规章制度，维护公司利益，热情服务于客户；培训本队员工，提高工人整体素质；审查施工合同，报价及工程图纸；对所承接工程实施组织、施工、进度控制；认真王城施工管理守则的填写和作业文件；管理本施工队日常工作。</w:t>
      </w:r>
    </w:p>
    <w:p>
      <w:pPr>
        <w:pStyle w:val="3"/>
      </w:pPr>
      <w:r>
        <w:rPr>
          <w:rFonts w:hint="eastAsia"/>
        </w:rPr>
        <w:t>七、人才规格</w:t>
      </w:r>
      <w:bookmarkEnd w:id="6"/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．职业素养</w:t>
      </w:r>
    </w:p>
    <w:tbl>
      <w:tblPr>
        <w:tblStyle w:val="1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5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职业素养</w:t>
            </w:r>
          </w:p>
        </w:tc>
        <w:tc>
          <w:tcPr>
            <w:tcW w:w="366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合作企业要求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6" w:hRule="atLeast"/>
        </w:trPr>
        <w:tc>
          <w:tcPr>
            <w:tcW w:w="4325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）具有较强的服务意识，较强的口头表达能力和网络沟通能力；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（2）具有继续学习能力，较强的工作执行力；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（3）具有熟练使用计算机进行数据搜集和整理的能力；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（4）具有团队合作精神、责任意识、法律意识和诚信意识；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（5）具有初步的分析问题和解决问题的能力，具有创新意识；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（6）具有对新知识、新技能的学习能力。</w:t>
            </w:r>
          </w:p>
        </w:tc>
        <w:tc>
          <w:tcPr>
            <w:tcW w:w="3663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）具有良好的职业态度和职业道德修养，具有正确的择业观；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）敬业、专注、忠诚、创新的工匠精神；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（3）掌握理性分析问题的方法，具有数据思维，具备主动解决问题的意识与建构策略方案的能力；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（4）思维活跃、行动积极，具有自我成就意识。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600" w:leftChars="0" w:firstLine="0"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专业能力</w:t>
      </w:r>
    </w:p>
    <w:tbl>
      <w:tblPr>
        <w:tblStyle w:val="15"/>
        <w:tblpPr w:leftFromText="181" w:rightFromText="181" w:vertAnchor="text" w:horzAnchor="page" w:tblpXSpec="center" w:tblpY="171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1"/>
        <w:gridCol w:w="3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4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专业能力</w:t>
            </w:r>
          </w:p>
        </w:tc>
        <w:tc>
          <w:tcPr>
            <w:tcW w:w="2255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合作企业要求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274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(1)文案策划和媒体运营能力：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熟练掌握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计算机基本操作、掌握融媒体制作、掌握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市场调研的基本方法，能有效的进行市场调研和资料搜集工作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文案处理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以及活动文案策划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对推广效果进行跟踪、评估和改进。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CAD绘图能力：能够充分理解设计方案，熟练使用CAD绘图软件；熟练完成施工图纸设计绘制、技术交底，设计变更；能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对各类图纸进行登记、编号、存档。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(3)具有良好的语言、文字表达能力和沟通能力。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(4)具有探究学习、终身学习、分析问题和解决问题的能力。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针对具体行业和产品方案进行市场营销策划；具有平台运营能力。具有良好的市场分析策划能力、协调沟通能力和文字表达能力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根据客户需求信息确定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产品设计方案，综合设计要求与规范进行设计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完成CAD设计图的分析、制作、修改、方案改善设计。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(3)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能够与客户有效进行售前咨询、售中和售后服务，具备客户关系管理能力；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(4)工作中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能对自己的价值观、职业兴趣、个人条件做出正确的判断，做出符合自身实际的科学合理的职业规划，并为了实现职业规划，培养相应的综合素质与能力。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="600" w:leftChars="0"/>
        <w:rPr>
          <w:rFonts w:hint="eastAsia" w:ascii="仿宋" w:hAnsi="仿宋" w:eastAsia="仿宋"/>
          <w:sz w:val="30"/>
          <w:szCs w:val="30"/>
        </w:rPr>
      </w:pPr>
    </w:p>
    <w:p>
      <w:pPr>
        <w:pStyle w:val="3"/>
      </w:pPr>
      <w:bookmarkStart w:id="7" w:name="_Toc106272298"/>
      <w:r>
        <w:rPr>
          <w:rFonts w:hint="eastAsia"/>
        </w:rPr>
        <w:t>八、典型工作任务及职业能力分析</w:t>
      </w:r>
      <w:bookmarkEnd w:id="7"/>
    </w:p>
    <w:p>
      <w:pPr>
        <w:widowControl/>
        <w:kinsoku w:val="0"/>
        <w:autoSpaceDE w:val="0"/>
        <w:autoSpaceDN w:val="0"/>
        <w:adjustRightInd w:val="0"/>
        <w:snapToGrid w:val="0"/>
        <w:spacing w:before="176" w:line="342" w:lineRule="auto"/>
        <w:ind w:left="48" w:firstLine="541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6"/>
          <w:szCs w:val="26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根据本专业在学徒培养期间6个职业岗位类别及毕业初始岗位，结合职业特征，运用头脑风暴和案例研究等方法，开展行业企业专家研讨，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获得3个典型工作任务，以及5工作任务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。典型工作任务(见下表)。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典型工作任务一栏表</w:t>
      </w:r>
    </w:p>
    <w:tbl>
      <w:tblPr>
        <w:tblStyle w:val="1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246"/>
        <w:gridCol w:w="1060"/>
        <w:gridCol w:w="1060"/>
        <w:gridCol w:w="1060"/>
        <w:gridCol w:w="1275"/>
        <w:gridCol w:w="1275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pct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典型职业活动</w:t>
            </w:r>
          </w:p>
        </w:tc>
        <w:tc>
          <w:tcPr>
            <w:tcW w:w="4233" w:type="pct"/>
            <w:gridSpan w:val="6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766" w:type="pct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766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766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87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18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文案策划</w:t>
            </w:r>
          </w:p>
        </w:tc>
        <w:tc>
          <w:tcPr>
            <w:tcW w:w="147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产品评估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市场分析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目标定位</w:t>
            </w:r>
          </w:p>
        </w:tc>
        <w:tc>
          <w:tcPr>
            <w:tcW w:w="766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流程规划</w:t>
            </w:r>
          </w:p>
        </w:tc>
        <w:tc>
          <w:tcPr>
            <w:tcW w:w="766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方案确定</w:t>
            </w:r>
          </w:p>
        </w:tc>
        <w:tc>
          <w:tcPr>
            <w:tcW w:w="787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方案评估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18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CAD绘图</w:t>
            </w:r>
          </w:p>
        </w:tc>
        <w:tc>
          <w:tcPr>
            <w:tcW w:w="147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B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设计思路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图纸深度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工序分工</w:t>
            </w:r>
          </w:p>
        </w:tc>
        <w:tc>
          <w:tcPr>
            <w:tcW w:w="766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6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7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18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现场施工</w:t>
            </w:r>
          </w:p>
        </w:tc>
        <w:tc>
          <w:tcPr>
            <w:tcW w:w="147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C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施工图预算编制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成本核算</w:t>
            </w:r>
          </w:p>
        </w:tc>
        <w:tc>
          <w:tcPr>
            <w:tcW w:w="637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劳务及分包合同评审</w:t>
            </w:r>
          </w:p>
        </w:tc>
        <w:tc>
          <w:tcPr>
            <w:tcW w:w="766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审核分包、劳务层进度预算、结算</w:t>
            </w:r>
          </w:p>
        </w:tc>
        <w:tc>
          <w:tcPr>
            <w:tcW w:w="766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办理结算</w:t>
            </w:r>
          </w:p>
        </w:tc>
        <w:tc>
          <w:tcPr>
            <w:tcW w:w="787" w:type="pct"/>
            <w:shd w:val="clear" w:color="auto" w:fill="auto"/>
            <w:noWrap w:val="0"/>
            <w:vAlign w:val="center"/>
          </w:tcPr>
          <w:p>
            <w:pPr>
              <w:pStyle w:val="34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3"/>
      </w:pPr>
      <w:bookmarkStart w:id="8" w:name="_Toc106272299"/>
      <w:r>
        <w:rPr>
          <w:rFonts w:hint="eastAsia"/>
        </w:rPr>
        <w:t>九、课程结构</w:t>
      </w:r>
      <w:bookmarkEnd w:id="8"/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本专业的课程体系建构根据相关的岗位人员工作内容设置，基于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企业</w:t>
      </w:r>
      <w:r>
        <w:rPr>
          <w:rFonts w:hint="eastAsia" w:ascii="仿宋" w:hAnsi="仿宋" w:eastAsia="仿宋"/>
          <w:sz w:val="30"/>
          <w:szCs w:val="30"/>
        </w:rPr>
        <w:t>典型岗位与工作过程、融入企业与行业职业资格标准，构建“四段”课程体系框架，即职业基础性课程、职业能力性课程、职业拓展性课程和企业特色性课程，分别培养学生精于工、品与行、创于新、匠与心的核心能力，并在每个阶段融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思政</w:t>
      </w:r>
      <w:r>
        <w:rPr>
          <w:rFonts w:hint="eastAsia" w:ascii="仿宋" w:hAnsi="仿宋" w:eastAsia="仿宋"/>
          <w:sz w:val="30"/>
          <w:szCs w:val="30"/>
        </w:rPr>
        <w:t>素养培养，强化学生的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互联网</w:t>
      </w:r>
      <w:r>
        <w:rPr>
          <w:rFonts w:hint="eastAsia" w:ascii="仿宋" w:hAnsi="仿宋" w:eastAsia="仿宋"/>
          <w:sz w:val="30"/>
          <w:szCs w:val="30"/>
        </w:rPr>
        <w:t>思维，提升学生的实践能力。</w:t>
      </w:r>
    </w:p>
    <w:tbl>
      <w:tblPr>
        <w:tblStyle w:val="1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16"/>
        <w:gridCol w:w="5207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课程模块</w:t>
            </w:r>
          </w:p>
        </w:tc>
        <w:tc>
          <w:tcPr>
            <w:tcW w:w="5207" w:type="dxa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课程名称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公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共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基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础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程</w:t>
            </w:r>
          </w:p>
        </w:tc>
        <w:tc>
          <w:tcPr>
            <w:tcW w:w="5207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思想道德与法治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毛泽东思想和中国特色社会主义理论体系概论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习近平新时代中国特色社会主义思想概论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形势与政策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高等应用数学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英语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计算机应用基础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体育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就业指导与职业生涯设计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创新创业基础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心理素质拓展课程</w:t>
            </w:r>
          </w:p>
        </w:tc>
        <w:tc>
          <w:tcPr>
            <w:tcW w:w="145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业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程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技能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Photoshop</w:t>
            </w:r>
          </w:p>
        </w:tc>
        <w:tc>
          <w:tcPr>
            <w:tcW w:w="145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工程制图与识图</w:t>
            </w:r>
          </w:p>
        </w:tc>
        <w:tc>
          <w:tcPr>
            <w:tcW w:w="145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建筑CAD</w:t>
            </w:r>
          </w:p>
        </w:tc>
        <w:tc>
          <w:tcPr>
            <w:tcW w:w="145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工程文档处理</w:t>
            </w:r>
          </w:p>
        </w:tc>
        <w:tc>
          <w:tcPr>
            <w:tcW w:w="145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PPT美工技巧</w:t>
            </w:r>
          </w:p>
        </w:tc>
        <w:tc>
          <w:tcPr>
            <w:tcW w:w="145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计算机网络基础</w:t>
            </w:r>
          </w:p>
        </w:tc>
        <w:tc>
          <w:tcPr>
            <w:tcW w:w="145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project应用(加思维导图）</w:t>
            </w:r>
          </w:p>
        </w:tc>
        <w:tc>
          <w:tcPr>
            <w:tcW w:w="1451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社会实践与志愿者服务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劳动教育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毕业作品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学徒岗位能力课程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建筑预决算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建筑工程施工管理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职业素养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岗位技能综合实习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拓展</w:t>
            </w:r>
          </w:p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课程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综合布线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任选课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网络安全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任选课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web前端技术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任选课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数据库技术与应用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任选课</w:t>
            </w:r>
          </w:p>
        </w:tc>
      </w:tr>
    </w:tbl>
    <w:p>
      <w:pPr>
        <w:pStyle w:val="3"/>
      </w:pPr>
      <w:bookmarkStart w:id="9" w:name="_Toc106272300"/>
      <w:r>
        <w:rPr>
          <w:rFonts w:hint="eastAsia"/>
        </w:rPr>
        <w:t>十、课程内容及要求</w:t>
      </w:r>
      <w:bookmarkEnd w:id="9"/>
    </w:p>
    <w:p>
      <w:pPr>
        <w:pStyle w:val="11"/>
        <w:rPr>
          <w:rFonts w:cs="Times New Roman"/>
        </w:rPr>
      </w:pPr>
      <w:r>
        <w:rPr>
          <w:rFonts w:hint="eastAsia"/>
        </w:rPr>
        <w:t>（一）公共基础课程</w:t>
      </w:r>
    </w:p>
    <w:tbl>
      <w:tblPr>
        <w:tblStyle w:val="1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4694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694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主要教学内容和要求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思想</w:t>
            </w: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道德与法治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针对大学生开展马克思主义的世界观、人生观、价值观教育，使学生成长为自觉担当民族复兴大任的时代新人。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毛泽东思想和中国特色社会主义理论体系概论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掌握毛泽东思想和中国特色社会主义理论体系的基本原理，提高分析问题的能力，成为中国特色社会主义合格建设者和可靠接班人。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习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近平新时代中国特色社会主义思想概论</w:t>
            </w:r>
          </w:p>
        </w:tc>
        <w:tc>
          <w:tcPr>
            <w:tcW w:w="4694" w:type="dxa"/>
          </w:tcPr>
          <w:p>
            <w:pPr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>习近平新时代中国特色社会主义思想的主要内容是“十个明确”和“十四个坚持”“十三个方面成就”。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全面贯彻党的教育方针，培育和践行社会主义核心价值观，落实立德树人根本任务，进一步促进学生政治理论学科核心素养的发展，培养具有爱国情怀、政治意识的高素质技术技能人才。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形势与政策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了解国内外重大时事，全面认识和正确理解党的基本路线、重大方针和政策，认清国际国内形势发展的大局和大趋势，全面正确地认识党和国家面临的形势和任务，激发爱国热情，增强民族自信心和社会责任感，珍惜和维护稳定大局，确立建设有中国特色社会主义的理想和信念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高等应用数学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掌握一元函数微积分学和概率论与数理统计，数学实验与数学软件等内容，具有基本的计算能力。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英语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掌握英语学习的方法和策略，具有较强的英语听、说、读、写、译能力，能够运用英语在日常生活和职业领域开展交际活动。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信息技术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计算机信息技术基本原理及应用；掌握Office办公软件的应用；掌握人工智能的基本概念、基本理论与方法、推理机制和智能问题求解技术；掌握人工智能在各种场景的应用；培养运用办公软件解决本专业及相关领域实际问题的能力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体育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通过合理的体育教育和科学的体育锻炼，达到增强体质、增进健康，培养终身体育意识，促进学生全面发展。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9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就业指导与职业生涯设计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将立德树人融入生涯教育的始终。通过职业规划，帮助学生了解自己和职场，找到职业发展方向；通过就业辅导，帮助学生树立正确的就业观，提高竞争力。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创新创业基础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培养学生创新意识，树立创新强国的理念，掌握开展创新创业活动所需的相关知识，锻炼学生发现问题并创新地解决问题的能力。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11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心理素质拓展教育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树立心理健康与安全意识，掌握维护健康与安全的知识和技能，提高应对健康与安全风险的能力，增强维护全民健康与安全的社会责任感。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1</w:t>
            </w:r>
            <w:r>
              <w:rPr>
                <w:rFonts w:ascii="仿宋" w:hAnsi="仿宋" w:eastAsia="仿宋" w:cs="Tahoma"/>
                <w:bCs/>
                <w:kern w:val="0"/>
              </w:rPr>
              <w:t>8</w:t>
            </w:r>
          </w:p>
        </w:tc>
      </w:tr>
    </w:tbl>
    <w:p>
      <w:pPr>
        <w:pStyle w:val="11"/>
        <w:numPr>
          <w:ilvl w:val="0"/>
          <w:numId w:val="2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专业技术技能课程</w:t>
      </w:r>
    </w:p>
    <w:p>
      <w:pPr>
        <w:widowControl w:val="0"/>
        <w:numPr>
          <w:ilvl w:val="0"/>
          <w:numId w:val="0"/>
        </w:numPr>
        <w:jc w:val="both"/>
      </w:pPr>
    </w:p>
    <w:tbl>
      <w:tblPr>
        <w:tblStyle w:val="15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491"/>
        <w:gridCol w:w="1917"/>
        <w:gridCol w:w="3851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对接典型工作任务及</w:t>
            </w:r>
          </w:p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职业能力</w:t>
            </w: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主要教学内容和要求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Photoshop</w:t>
            </w:r>
          </w:p>
        </w:tc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B1</w:t>
            </w:r>
          </w:p>
        </w:tc>
        <w:tc>
          <w:tcPr>
            <w:tcW w:w="38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通过本课程的学习，引领学生进入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平面设计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领域使学生掌握的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Photoshop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专业知识和技能，培养学生的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平面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设计的专业思想、职业素质和 Photosop软件操作的基本技能，为学生学习软件界面设计、网页设计等专业课程打下坚实的基础。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工程制图与识图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B1、B2、B3</w:t>
            </w:r>
          </w:p>
        </w:tc>
        <w:tc>
          <w:tcPr>
            <w:tcW w:w="3851" w:type="dxa"/>
            <w:vAlign w:val="top"/>
          </w:tcPr>
          <w:p>
            <w:pPr>
              <w:jc w:val="both"/>
              <w:rPr>
                <w:rFonts w:hint="eastAsia" w:ascii="仿宋" w:hAnsi="仿宋" w:eastAsia="仿宋" w:cs="Calibr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主要内容分为投影基本知识、建筑制图规范、房屋建筑施工图、房屋结构施工图和结构施工图几个部分。通过学习本课程，学生了解轴测投影的基本知识，掌握建筑工程制图与识图的原理和方法，能绘制规范的建筑图样。</w:t>
            </w:r>
          </w:p>
        </w:tc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建筑CAD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B1、B2、B3</w:t>
            </w:r>
          </w:p>
        </w:tc>
        <w:tc>
          <w:tcPr>
            <w:tcW w:w="3851" w:type="dxa"/>
            <w:vAlign w:val="top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通过学习，学生掌握AutoCAD的绘图命令及编辑命令，掌握绘制平面图形、三视图、正等轴测图及三维模型的基本方法。能运用软件绘制建筑工程图纸，并进行打印设置。</w:t>
            </w:r>
          </w:p>
        </w:tc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工程文档处理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A1-A6</w:t>
            </w:r>
          </w:p>
        </w:tc>
        <w:tc>
          <w:tcPr>
            <w:tcW w:w="3851" w:type="dxa"/>
          </w:tcPr>
          <w:p>
            <w:pPr>
              <w:jc w:val="both"/>
              <w:rPr>
                <w:rFonts w:hint="default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资料搜集工作、文案处理以及活动文案策划、对推广效果进行跟踪、评估和改进</w:t>
            </w:r>
          </w:p>
        </w:tc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PPT美工技巧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A1-A6</w:t>
            </w:r>
          </w:p>
        </w:tc>
        <w:tc>
          <w:tcPr>
            <w:tcW w:w="3851" w:type="dxa"/>
            <w:vAlign w:val="top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通过本课程的学习，使学生掌握PPT美工技巧金刘老师每个吗去掉吗哎呀别提了，对现代金融有全面的了解和较为深刻的认识。</w:t>
            </w:r>
          </w:p>
        </w:tc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计算机网络基础</w:t>
            </w:r>
          </w:p>
        </w:tc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A2\C1</w:t>
            </w:r>
          </w:p>
        </w:tc>
        <w:tc>
          <w:tcPr>
            <w:tcW w:w="3851" w:type="dxa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highlight w:val="none"/>
                <w:lang w:val="en-US" w:eastAsia="zh-CN"/>
              </w:rPr>
              <w:t>具备计算机网络体系结构的基本任职，有配置和测试网络协议、划分子网的能力，具备网线制作的基本能力，具备网络操作系统安装和设置的相关技巧和能力</w:t>
            </w:r>
          </w:p>
        </w:tc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project应用</w:t>
            </w:r>
          </w:p>
        </w:tc>
        <w:tc>
          <w:tcPr>
            <w:tcW w:w="191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A4、B2、B3、C1-C4</w:t>
            </w:r>
          </w:p>
        </w:tc>
        <w:tc>
          <w:tcPr>
            <w:tcW w:w="3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通过本课程的学习，使学生</w:t>
            </w:r>
            <w:r>
              <w:rPr>
                <w:rFonts w:ascii="仿宋" w:hAnsi="仿宋" w:eastAsia="仿宋" w:cs="仿宋"/>
                <w:bCs/>
                <w:kern w:val="0"/>
              </w:rPr>
              <w:t>掌握</w:t>
            </w:r>
            <w:r>
              <w:rPr>
                <w:rFonts w:hint="eastAsia" w:ascii="仿宋" w:hAnsi="仿宋" w:eastAsia="仿宋" w:cs="仿宋"/>
                <w:bCs/>
                <w:kern w:val="0"/>
                <w:lang w:eastAsia="zh-CN"/>
              </w:rPr>
              <w:t>利用</w:t>
            </w:r>
            <w:r>
              <w:rPr>
                <w:rFonts w:hint="default" w:ascii="仿宋" w:hAnsi="仿宋" w:eastAsia="仿宋" w:cs="仿宋"/>
                <w:bCs/>
                <w:kern w:val="0"/>
                <w:lang w:val="en-US" w:eastAsia="zh-CN"/>
              </w:rPr>
              <w:t>Project制订项目计划</w:t>
            </w: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bCs/>
                <w:kern w:val="0"/>
                <w:lang w:val="en-US" w:eastAsia="zh-CN"/>
              </w:rPr>
              <w:t>制订初始资源和成本计划</w:t>
            </w: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bCs/>
                <w:kern w:val="0"/>
                <w:lang w:val="en-US" w:eastAsia="zh-CN"/>
              </w:rPr>
              <w:t>制订优化项目计划</w:t>
            </w: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>，深刻地理解和掌握项目管理的理论知识及其相关工具方法。</w:t>
            </w:r>
          </w:p>
        </w:tc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</w:tr>
    </w:tbl>
    <w:p>
      <w:pPr>
        <w:pStyle w:val="11"/>
        <w:ind w:firstLine="420"/>
        <w:rPr>
          <w:rFonts w:hint="eastAsia"/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注：“对接典型工作任务及职业能力”填写典型工作任务和职业能力编码，编码与附件的职业能力分析表对应，学科课程除外。</w:t>
      </w:r>
    </w:p>
    <w:p>
      <w:pPr>
        <w:pStyle w:val="11"/>
        <w:numPr>
          <w:ilvl w:val="0"/>
          <w:numId w:val="2"/>
        </w:numPr>
        <w:ind w:left="0" w:leftChars="0" w:firstLine="602" w:firstLineChars="200"/>
      </w:pPr>
      <w:r>
        <w:rPr>
          <w:rFonts w:hint="eastAsia"/>
          <w:highlight w:val="none"/>
        </w:rPr>
        <w:t>学徒岗位能力课程</w:t>
      </w:r>
    </w:p>
    <w:tbl>
      <w:tblPr>
        <w:tblStyle w:val="15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843"/>
        <w:gridCol w:w="382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对接典型工作任务及</w:t>
            </w:r>
          </w:p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职业能力</w:t>
            </w:r>
          </w:p>
        </w:tc>
        <w:tc>
          <w:tcPr>
            <w:tcW w:w="3824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主要教学内容和要求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建筑预决算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B1-B2 C1-C2-C3-C4-C5</w:t>
            </w:r>
          </w:p>
        </w:tc>
        <w:tc>
          <w:tcPr>
            <w:tcW w:w="3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通过本课程的学习，使学生具有初步的建筑设计基础知识,并有较强的建筑工程识图能力，使学生达到预算员应具备的建筑工程预决算理论水平，悉建设工程造价的构成及建筑工程各分部分项工程成本的计算。熟悉造价相关政策法规，了解各地市场造价行情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建筑工程施工管理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C1-C2-C3-C4-C5</w:t>
            </w:r>
          </w:p>
        </w:tc>
        <w:tc>
          <w:tcPr>
            <w:tcW w:w="3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使学生了解施工项目管理的基础知识;熟悉施工项目管理的内容;掌握建筑工程施工项目管理程序及管理的方法和措施,使学生初步具备运用项目管理的基本理论进行 施工项目组织、质量控制、进度控制、安全管理、合同管理、组织与协调、 项目收尾等管理的能力。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A1-A6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C1-C5</w:t>
            </w:r>
          </w:p>
        </w:tc>
        <w:tc>
          <w:tcPr>
            <w:tcW w:w="3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将企业的文化贯穿到学生的工作中，增加企业归属感。培养学生运用所学基础知识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专业知识和基本技能，提高分析问题，解决问题的能力。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岗位技能综合实习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A1-A6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C1-C5</w:t>
            </w:r>
          </w:p>
        </w:tc>
        <w:tc>
          <w:tcPr>
            <w:tcW w:w="3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对接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企业，根据企业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岗位任务和职业能力要求，引入德国职业标准“双元制”教学模式，培养具有良好职业道德、工作态度及行为规范，能够在设备维修、管理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软件设计、媒体运营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等一线岗位，具有可持续发展能力的复合型技术技能人才。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468</w:t>
            </w:r>
          </w:p>
        </w:tc>
      </w:tr>
    </w:tbl>
    <w:p>
      <w:pPr>
        <w:pStyle w:val="11"/>
        <w:ind w:firstLine="420"/>
        <w:rPr>
          <w:rFonts w:hint="eastAsia"/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注：“对接典型工作任务及职业能力”填写职业能力编码，编码与附件的职业能力分析表对应，学科课程除外。</w:t>
      </w:r>
    </w:p>
    <w:p>
      <w:pPr>
        <w:spacing w:line="360" w:lineRule="auto"/>
        <w:rPr>
          <w:rFonts w:ascii="仿宋" w:hAnsi="仿宋" w:eastAsia="仿宋"/>
        </w:rPr>
      </w:pPr>
    </w:p>
    <w:p>
      <w:pPr>
        <w:pStyle w:val="3"/>
        <w:rPr>
          <w:rFonts w:cs="Times New Roman"/>
        </w:rPr>
      </w:pPr>
      <w:bookmarkStart w:id="10" w:name="_Toc106272301"/>
      <w:r>
        <w:rPr>
          <w:rFonts w:hint="eastAsia"/>
        </w:rPr>
        <w:t>十一、教学安排</w:t>
      </w:r>
      <w:bookmarkEnd w:id="10"/>
    </w:p>
    <w:p>
      <w:pPr>
        <w:pStyle w:val="11"/>
        <w:rPr>
          <w:rStyle w:val="18"/>
          <w:b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</w:rPr>
        <w:t>（一）教学进程安排</w:t>
      </w:r>
    </w:p>
    <w:tbl>
      <w:tblPr>
        <w:tblStyle w:val="15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403"/>
        <w:gridCol w:w="2484"/>
        <w:gridCol w:w="797"/>
        <w:gridCol w:w="892"/>
        <w:gridCol w:w="892"/>
        <w:gridCol w:w="892"/>
        <w:gridCol w:w="892"/>
        <w:gridCol w:w="892"/>
        <w:gridCol w:w="892"/>
        <w:gridCol w:w="921"/>
        <w:gridCol w:w="893"/>
        <w:gridCol w:w="893"/>
        <w:gridCol w:w="907"/>
        <w:gridCol w:w="9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2023级计算机应用技术专业现代学徒制教学进程表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8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总学时</w:t>
            </w:r>
          </w:p>
        </w:tc>
        <w:tc>
          <w:tcPr>
            <w:tcW w:w="19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各学期周数、学时分配</w:t>
            </w:r>
          </w:p>
        </w:tc>
        <w:tc>
          <w:tcPr>
            <w:tcW w:w="9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教学场所、学时分配</w:t>
            </w:r>
          </w:p>
        </w:tc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</w:t>
            </w:r>
          </w:p>
        </w:tc>
        <w:tc>
          <w:tcPr>
            <w:tcW w:w="3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</w:t>
            </w:r>
          </w:p>
        </w:tc>
        <w:tc>
          <w:tcPr>
            <w:tcW w:w="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必修课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高等应用数学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就业指导与职业生涯设计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心理素质拓展教育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专业课程</w:t>
            </w:r>
          </w:p>
        </w:tc>
        <w:tc>
          <w:tcPr>
            <w:tcW w:w="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工程制图与识图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建筑CAD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工程文档处理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计算机网络基础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project应用(加思维导图）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Photoshop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社会实践与志愿者服务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学徒岗位能力课程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建筑预决算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建筑工程施工管理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岗位技能综合实习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岗位技能综合实习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任选课（含专业拓展课程）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web前端技术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数据库技术与应用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420" w:firstLineChars="200"/>
        <w:rPr>
          <w:rFonts w:hint="eastAsia" w:ascii="宋体" w:hAnsi="宋体" w:cs="宋体"/>
        </w:rPr>
      </w:pPr>
    </w:p>
    <w:p>
      <w:pPr>
        <w:ind w:firstLine="420" w:firstLineChars="200"/>
        <w:rPr>
          <w:rFonts w:ascii="宋体" w:cs="Times New Roman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</w:rPr>
        <w:t>注：（1）评价方式：①笔试，②面试，③任务考核，④业绩考核</w:t>
      </w:r>
      <w:r>
        <w:rPr>
          <w:rFonts w:hint="eastAsia" w:ascii="宋体" w:cs="Times New Roman"/>
        </w:rPr>
        <w:t>。（2）总学时一般为2500-2700，公共基础课程不低于1/4，专业技术技能课程和学徒岗位能力课程总学时一般应超过50%。（3）总学分不低于120。（4）教学场所、学时分配可根据校企教学安排实际情况描述，比如学生在校内实践基地由企业导师完全对接岗位组织教学，可以计算为企业课时。</w:t>
      </w:r>
    </w:p>
    <w:p>
      <w:pPr>
        <w:pStyle w:val="11"/>
      </w:pPr>
      <w:r>
        <w:rPr>
          <w:rFonts w:hint="eastAsia"/>
        </w:rPr>
        <w:t>（二）工学交替的教学组织进度安排表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对招生招工同步的学生，学生（学徒）在岗学习工作原则上不少于50%；对于先招工后招生的企业在职员工，校企探索创新教学组织实施模式、教学过程管理与工作过程管理相融合,体现工学交替、交互训教。</w:t>
      </w:r>
    </w:p>
    <w:p>
      <w:pPr>
        <w:pStyle w:val="3"/>
        <w:rPr>
          <w:rFonts w:cs="Times New Roman"/>
        </w:rPr>
      </w:pPr>
      <w:bookmarkStart w:id="11" w:name="_Toc106272302"/>
      <w:r>
        <w:rPr>
          <w:rFonts w:hint="eastAsia"/>
        </w:rPr>
        <w:t>十二、教学基本条件</w:t>
      </w:r>
      <w:bookmarkEnd w:id="11"/>
    </w:p>
    <w:p>
      <w:pPr>
        <w:pStyle w:val="11"/>
      </w:pPr>
      <w:r>
        <w:rPr>
          <w:rFonts w:hint="eastAsia"/>
        </w:rPr>
        <w:t>（一）学校条件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cs="宋体"/>
          <w:kern w:val="0"/>
          <w:sz w:val="24"/>
          <w:szCs w:val="24"/>
          <w:lang w:val="zh-CN"/>
        </w:rPr>
        <w:t xml:space="preserve">   </w:t>
      </w:r>
      <w:r>
        <w:rPr>
          <w:rFonts w:ascii="仿宋" w:hAnsi="仿宋" w:eastAsia="仿宋" w:cs="仿宋"/>
          <w:sz w:val="30"/>
          <w:szCs w:val="30"/>
        </w:rPr>
        <w:t xml:space="preserve"> 1</w:t>
      </w:r>
      <w:r>
        <w:rPr>
          <w:rFonts w:hint="eastAsia" w:ascii="仿宋" w:hAnsi="仿宋" w:eastAsia="仿宋" w:cs="仿宋"/>
          <w:sz w:val="30"/>
          <w:szCs w:val="30"/>
        </w:rPr>
        <w:t>．学校导师条件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包括专任教师19名和兼职教师5名。专业带头人具有副高职称，专任专业教师具备大学本科以上学历；兼职教师主要来自于行业企业，应具备大学本科以上学历，具有高等级技能证书，在相应的职业岗位上工作5年以上，具有丰富的从业业务经验和管理经验；专任教师“双师”资格的比例在90%左右，每两年下到企业实践时间不少于两个月。教师团队以中青年教师为主，老中青结构合理，综合实力较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（1）专任教师应具备电子商务或相关专业本科以上（含本科）学历，并接受过职业教育教学方法论的培训。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（2）本专业专任教师“双师”比例应不低于50%。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（3）本专业专任教师应达到电子商务专业教师专业能力标准的要求。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校内实训室。主要设施设备及数量见下表。</w:t>
      </w:r>
    </w:p>
    <w:tbl>
      <w:tblPr>
        <w:tblStyle w:val="1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316"/>
        <w:gridCol w:w="649"/>
        <w:gridCol w:w="2102"/>
        <w:gridCol w:w="720"/>
        <w:gridCol w:w="1370"/>
        <w:gridCol w:w="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9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实训室名称</w:t>
            </w:r>
          </w:p>
        </w:tc>
        <w:tc>
          <w:tcPr>
            <w:tcW w:w="47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规模</w:t>
            </w:r>
          </w:p>
        </w:tc>
        <w:tc>
          <w:tcPr>
            <w:tcW w:w="133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承担实训项目</w:t>
            </w:r>
          </w:p>
        </w:tc>
        <w:tc>
          <w:tcPr>
            <w:tcW w:w="19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基本配置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998" w:type="pct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4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面积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主要设备名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6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基础实训室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4间</w:t>
            </w:r>
          </w:p>
        </w:tc>
        <w:tc>
          <w:tcPr>
            <w:tcW w:w="1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计算机基础、JavaScript、</w:t>
            </w:r>
          </w:p>
          <w:p>
            <w:pPr>
              <w:pStyle w:val="3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软件UI设计基础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台式计算机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200台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软件设计实训室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3间</w:t>
            </w:r>
          </w:p>
        </w:tc>
        <w:tc>
          <w:tcPr>
            <w:tcW w:w="1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软件测试、</w:t>
            </w:r>
          </w:p>
          <w:p>
            <w:pPr>
              <w:pStyle w:val="3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面向对象程序设计、Android系统开发、Android系统开发实训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240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台式计算机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180台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网络实验室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1间</w:t>
            </w:r>
          </w:p>
        </w:tc>
        <w:tc>
          <w:tcPr>
            <w:tcW w:w="1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路由型与交换型网络互联技术、</w:t>
            </w:r>
          </w:p>
          <w:p>
            <w:pPr>
              <w:pStyle w:val="3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计算机网络技术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台式计算机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园区网实验室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1间</w:t>
            </w:r>
          </w:p>
        </w:tc>
        <w:tc>
          <w:tcPr>
            <w:tcW w:w="1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动态Web技术、</w:t>
            </w:r>
          </w:p>
          <w:p>
            <w:pPr>
              <w:pStyle w:val="3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Web标准化基础知识(HTML5+CSS3)、</w:t>
            </w:r>
          </w:p>
          <w:p>
            <w:pPr>
              <w:pStyle w:val="3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数据恢复与安全防护、Web前端开发实训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电脑</w:t>
            </w:r>
          </w:p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路由器</w:t>
            </w:r>
          </w:p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交换机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56台</w:t>
            </w:r>
          </w:p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6台</w:t>
            </w:r>
          </w:p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锐捷大数据网络实验室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1间</w:t>
            </w:r>
          </w:p>
        </w:tc>
        <w:tc>
          <w:tcPr>
            <w:tcW w:w="1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智能大数据应用开发、高级程序设计、C/S应用系统开发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台式计算机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物联网实训室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1间</w:t>
            </w:r>
          </w:p>
        </w:tc>
        <w:tc>
          <w:tcPr>
            <w:tcW w:w="1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物联网技术及应用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120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物联网设备</w:t>
            </w:r>
          </w:p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计算机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8套</w:t>
            </w:r>
          </w:p>
          <w:p>
            <w:pPr>
              <w:pStyle w:val="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50台</w:t>
            </w:r>
          </w:p>
        </w:tc>
      </w:tr>
    </w:tbl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pStyle w:val="11"/>
        <w:ind w:firstLine="904" w:firstLineChars="300"/>
        <w:rPr>
          <w:rFonts w:ascii="宋体" w:cs="Times New Roman"/>
          <w:bCs/>
          <w:sz w:val="28"/>
          <w:szCs w:val="28"/>
        </w:rPr>
      </w:pPr>
      <w:r>
        <w:rPr>
          <w:rFonts w:hint="eastAsia"/>
        </w:rPr>
        <w:t>（二）企业条件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1</w:t>
      </w:r>
      <w:r>
        <w:rPr>
          <w:rFonts w:hint="eastAsia" w:ascii="仿宋" w:hAnsi="仿宋" w:eastAsia="仿宋" w:cs="宋体"/>
          <w:sz w:val="30"/>
          <w:szCs w:val="30"/>
        </w:rPr>
        <w:t>．企业导师条件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企业兼职教师应聘请生产一线，并能胜任专业实践教学的技术和管理骨干，一般应具有大学本科以上（含本科）学历，企业兼职教师主要承担实践和实训教学。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2.</w:t>
      </w:r>
      <w:r>
        <w:rPr>
          <w:rFonts w:hint="eastAsia" w:ascii="仿宋" w:hAnsi="仿宋" w:eastAsia="仿宋" w:cs="宋体"/>
          <w:sz w:val="30"/>
          <w:szCs w:val="30"/>
        </w:rPr>
        <w:t>岗位培养条件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配套温馨舒适的工作场地，有安全保障的宿舍环境，集体授课的中型会议室，干净卫生的员工餐厅。</w:t>
      </w:r>
    </w:p>
    <w:p>
      <w:pPr>
        <w:pStyle w:val="3"/>
        <w:rPr>
          <w:rFonts w:cs="Times New Roman"/>
        </w:rPr>
      </w:pPr>
      <w:bookmarkStart w:id="12" w:name="_Toc106272303"/>
      <w:r>
        <w:rPr>
          <w:rFonts w:hint="eastAsia"/>
        </w:rPr>
        <w:t>十三、教学实施建议</w:t>
      </w:r>
      <w:bookmarkEnd w:id="12"/>
    </w:p>
    <w:p>
      <w:pPr>
        <w:pStyle w:val="11"/>
      </w:pPr>
      <w:r>
        <w:rPr>
          <w:rFonts w:hint="eastAsia"/>
        </w:rPr>
        <w:t>（一）教学要求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本专业教学安排坚持学历教育与岗位培训相融合、职业能力与职业素质兼顾，学生可选择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工程监理、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6"/>
          <w:szCs w:val="26"/>
          <w:lang w:val="en-US" w:eastAsia="zh-CN"/>
        </w:rPr>
        <w:t>web前端、网络维护</w:t>
      </w:r>
      <w:r>
        <w:rPr>
          <w:rFonts w:hint="eastAsia" w:ascii="仿宋" w:hAnsi="仿宋" w:eastAsia="仿宋" w:cs="宋体"/>
          <w:sz w:val="30"/>
          <w:szCs w:val="30"/>
        </w:rPr>
        <w:t>方向有针对性的培养。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1、理论学习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坚持“做学教一体”的行动导向教学模式，围绕“资讯</w:t>
      </w:r>
      <w:r>
        <w:rPr>
          <w:rFonts w:ascii="仿宋" w:hAnsi="仿宋" w:eastAsia="仿宋" w:cs="宋体"/>
          <w:sz w:val="30"/>
          <w:szCs w:val="30"/>
        </w:rPr>
        <w:t>-决策-计划-实施-检查-评估”的行动导向教学过程。通过项目教学、模拟教学等多种教学方法，组织学生独立学习或组成小组进行合作学习。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2、实践学习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强化实践教学，根据专业教学的需要，在不同的时间段安排学生开展专业课程的工学结合教学组织形式，全面提高学生实际操作能力和水平。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3、其他学习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在开展专业实践教学的同时，鼓励学生参加第二课堂活动，引导学生积极参加专业技能竞赛、社会调研和社会服务等各项社会实践活动，努力促进学生职业能力、职业意识和社会责任心的综合发展。</w:t>
      </w:r>
    </w:p>
    <w:p>
      <w:pPr>
        <w:pStyle w:val="11"/>
      </w:pPr>
      <w:r>
        <w:rPr>
          <w:rFonts w:hint="eastAsia"/>
        </w:rPr>
        <w:t>（二）教学组织形式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教学组织形式主要有三种，分别为线下集中教学、线上网络教学和技能竞赛作品，其中线下集中教学又分为在校开展学习和在企业开展学习，在校开展学习以理论教学为主，在企业开展教学则以岗位学徒为主。</w:t>
      </w:r>
    </w:p>
    <w:p>
      <w:pPr>
        <w:pStyle w:val="11"/>
      </w:pPr>
      <w:r>
        <w:rPr>
          <w:rFonts w:hint="eastAsia"/>
        </w:rPr>
        <w:t>（三）学业评价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教学评价体现评价主体、评价方式、评价过程的多元化。教学评价的对象应包括学生知识的掌握、实践操作能力、学习态度和基本职业素质等方面，突出能力的考核评价方式，体现综合素质的评价。企业技能成绩采用校内专业教师评价、校外兼职教师评价、实习单位鉴定三项评价相结合的方式，对学生的专业技能、工作态度、工作纪律等方面进行全面评价。</w:t>
      </w:r>
    </w:p>
    <w:p>
      <w:pPr>
        <w:pStyle w:val="11"/>
      </w:pPr>
      <w:r>
        <w:rPr>
          <w:rFonts w:hint="eastAsia"/>
        </w:rPr>
        <w:t>（四）教学管理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依据专业学校的机构设置和本地经济发展，制定和完善专业人才培养方案，制定和完善专业课程标准。建立健全教学常规管理措施，针对不同生源特点实施差异化的教学管理，推进专业全面教学质量管理，注意本专业毕业生跟踪管理。</w:t>
      </w:r>
    </w:p>
    <w:p>
      <w:pPr>
        <w:pStyle w:val="11"/>
      </w:pPr>
      <w:r>
        <w:rPr>
          <w:rFonts w:hint="eastAsia"/>
        </w:rPr>
        <w:t>（五）质量监控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细化教学监控体系。通过教学考核、专题教学检查、随堂听课、发放调查问卷、设立教学意见箱、召开师生座谈会等形式，了解教学计划与教学任务落实、教师教学、学生学习、教学保障等情况，实现对教学管理工作多层面监控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加强教学质量管理。健全教学质量管理制度、标准及评价办法，要求二级学院制定年度本科教学工作考核指标体系及实施办法、为教学良性发展提供科学指导。在学校信息公开网公开教学质量信息，接受社会公众监督与评价。</w:t>
      </w:r>
    </w:p>
    <w:p>
      <w:pPr>
        <w:pStyle w:val="3"/>
      </w:pPr>
      <w:bookmarkStart w:id="13" w:name="_Toc106272304"/>
      <w:r>
        <w:rPr>
          <w:rFonts w:hint="eastAsia"/>
        </w:rPr>
        <w:t>十四、毕业要求</w:t>
      </w:r>
      <w:bookmarkEnd w:id="13"/>
    </w:p>
    <w:p>
      <w:pPr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（一）必修课程的成绩全部合格，修满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120</w:t>
      </w:r>
      <w:r>
        <w:rPr>
          <w:rFonts w:hint="eastAsia" w:ascii="仿宋" w:hAnsi="仿宋" w:eastAsia="仿宋" w:cs="宋体"/>
          <w:sz w:val="30"/>
          <w:szCs w:val="30"/>
        </w:rPr>
        <w:t>学分。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（二）完成毕业设计并成绩合格。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（三）综合素质测评合格。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（四）推荐考取职业技能等级证书。</w:t>
      </w:r>
    </w:p>
    <w:p>
      <w:pPr>
        <w:ind w:firstLine="600" w:firstLineChars="200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监理工程师资格证书</w:t>
      </w:r>
    </w:p>
    <w:p>
      <w:pPr>
        <w:ind w:firstLine="600" w:firstLineChars="200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Web前端开发（1+X证书）职业技能等级证书中级及以上</w:t>
      </w:r>
    </w:p>
    <w:p>
      <w:pPr>
        <w:ind w:firstLine="600" w:firstLineChars="200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高等学校英语应用能力考试AB级英语证书</w:t>
      </w:r>
    </w:p>
    <w:p>
      <w:pPr>
        <w:ind w:firstLine="600" w:firstLineChars="200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全国计算机等级证书二级</w:t>
      </w:r>
    </w:p>
    <w:p>
      <w:pPr>
        <w:spacing w:line="360" w:lineRule="auto"/>
        <w:rPr>
          <w:rFonts w:ascii="宋体" w:cs="Times New Roman"/>
          <w:sz w:val="28"/>
          <w:szCs w:val="28"/>
        </w:rPr>
      </w:pPr>
    </w:p>
    <w:p>
      <w:pPr>
        <w:pStyle w:val="3"/>
      </w:pPr>
      <w:bookmarkStart w:id="14" w:name="_Toc106272305"/>
      <w:r>
        <w:rPr>
          <w:rFonts w:hint="eastAsia"/>
        </w:rPr>
        <w:t>十五、</w:t>
      </w:r>
      <w:bookmarkEnd w:id="14"/>
      <w:r>
        <w:rPr>
          <w:rFonts w:hint="eastAsia"/>
        </w:rPr>
        <w:t>其他</w:t>
      </w:r>
    </w:p>
    <w:p>
      <w:pPr>
        <w:ind w:firstLine="602" w:firstLineChars="200"/>
        <w:rPr>
          <w:rFonts w:hint="eastAsia"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附录：制订团队</w:t>
      </w:r>
    </w:p>
    <w:p>
      <w:pPr>
        <w:numPr>
          <w:ilvl w:val="0"/>
          <w:numId w:val="3"/>
        </w:numPr>
        <w:ind w:firstLine="602" w:firstLineChars="200"/>
        <w:rPr>
          <w:rFonts w:hint="eastAsia" w:ascii="仿宋" w:hAnsi="仿宋" w:eastAsia="仿宋" w:cs="宋体"/>
          <w:b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b/>
          <w:sz w:val="30"/>
          <w:szCs w:val="30"/>
          <w:highlight w:val="none"/>
        </w:rPr>
        <w:t>行业企业团队</w:t>
      </w:r>
    </w:p>
    <w:tbl>
      <w:tblPr>
        <w:tblStyle w:val="1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4252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林会润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jc w:val="center"/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惠州市鸿坤装饰工程有限公司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jc w:val="center"/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人事经理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江小丽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jc w:val="center"/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惠州市工程建设项目咨询管理有限公司第四分公司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jc w:val="center"/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培训讲师</w:t>
            </w:r>
          </w:p>
        </w:tc>
      </w:tr>
    </w:tbl>
    <w:p>
      <w:pPr>
        <w:numPr>
          <w:ilvl w:val="0"/>
          <w:numId w:val="3"/>
        </w:numPr>
        <w:ind w:left="0" w:leftChars="0" w:firstLine="602" w:firstLineChars="200"/>
        <w:rPr>
          <w:rFonts w:hint="eastAsia"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学校教师团队</w:t>
      </w:r>
    </w:p>
    <w:tbl>
      <w:tblPr>
        <w:tblStyle w:val="1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622"/>
        <w:gridCol w:w="3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622" w:type="dxa"/>
            <w:noWrap w:val="0"/>
            <w:vAlign w:val="top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807" w:type="dxa"/>
            <w:noWrap w:val="0"/>
            <w:vAlign w:val="top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秦旭明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惠州工程职业学院</w:t>
            </w:r>
          </w:p>
        </w:tc>
        <w:tc>
          <w:tcPr>
            <w:tcW w:w="3807" w:type="dxa"/>
            <w:noWrap w:val="0"/>
            <w:vAlign w:val="top"/>
          </w:tcPr>
          <w:p>
            <w:pPr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副高/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信息工程系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孙闯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jc w:val="center"/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惠州工程职业学院</w:t>
            </w:r>
          </w:p>
        </w:tc>
        <w:tc>
          <w:tcPr>
            <w:tcW w:w="3807" w:type="dxa"/>
            <w:noWrap w:val="0"/>
            <w:vAlign w:val="top"/>
          </w:tcPr>
          <w:p>
            <w:pPr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副高/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信息工程计算机专业带头人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Times New Roman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 xml:space="preserve">杨晓宇 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惠州工程职业学院</w:t>
            </w:r>
          </w:p>
        </w:tc>
        <w:tc>
          <w:tcPr>
            <w:tcW w:w="3807" w:type="dxa"/>
            <w:noWrap w:val="0"/>
            <w:vAlign w:val="top"/>
          </w:tcPr>
          <w:p>
            <w:pP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副教授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计算机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专业带头人</w:t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8317661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805CA"/>
    <w:multiLevelType w:val="singleLevel"/>
    <w:tmpl w:val="F8F805C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11E996D"/>
    <w:multiLevelType w:val="singleLevel"/>
    <w:tmpl w:val="511E996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967A979"/>
    <w:multiLevelType w:val="singleLevel"/>
    <w:tmpl w:val="7967A979"/>
    <w:lvl w:ilvl="0" w:tentative="0">
      <w:start w:val="2"/>
      <w:numFmt w:val="decimal"/>
      <w:suff w:val="nothing"/>
      <w:lvlText w:val="%1．"/>
      <w:lvlJc w:val="left"/>
      <w:pPr>
        <w:ind w:left="600" w:leftChars="0" w:firstLine="0" w:firstLineChars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YmE3NzM5ZjFlMGQ5MmFhZTJjMDdhOTUyNzZhNzUifQ=="/>
  </w:docVars>
  <w:rsids>
    <w:rsidRoot w:val="00CC10E1"/>
    <w:rsid w:val="000060AB"/>
    <w:rsid w:val="00024A4F"/>
    <w:rsid w:val="0003185D"/>
    <w:rsid w:val="00056AE8"/>
    <w:rsid w:val="00064AE6"/>
    <w:rsid w:val="00077F71"/>
    <w:rsid w:val="00082EF3"/>
    <w:rsid w:val="00092050"/>
    <w:rsid w:val="000D0EC3"/>
    <w:rsid w:val="000D3DDA"/>
    <w:rsid w:val="000D5F55"/>
    <w:rsid w:val="000E7FB1"/>
    <w:rsid w:val="001051B1"/>
    <w:rsid w:val="001062CD"/>
    <w:rsid w:val="00165B72"/>
    <w:rsid w:val="001727C8"/>
    <w:rsid w:val="00181224"/>
    <w:rsid w:val="001A209A"/>
    <w:rsid w:val="001A312B"/>
    <w:rsid w:val="001A36F7"/>
    <w:rsid w:val="001B48B6"/>
    <w:rsid w:val="001D2A3A"/>
    <w:rsid w:val="00245CA0"/>
    <w:rsid w:val="00251FAD"/>
    <w:rsid w:val="00265CA5"/>
    <w:rsid w:val="00274068"/>
    <w:rsid w:val="00277F70"/>
    <w:rsid w:val="00282B02"/>
    <w:rsid w:val="00290799"/>
    <w:rsid w:val="002C24CE"/>
    <w:rsid w:val="002F2328"/>
    <w:rsid w:val="00301930"/>
    <w:rsid w:val="00323284"/>
    <w:rsid w:val="003449F1"/>
    <w:rsid w:val="003A568B"/>
    <w:rsid w:val="003B24C8"/>
    <w:rsid w:val="003D003B"/>
    <w:rsid w:val="003F0B91"/>
    <w:rsid w:val="0042714A"/>
    <w:rsid w:val="0043283B"/>
    <w:rsid w:val="00450EED"/>
    <w:rsid w:val="0046486B"/>
    <w:rsid w:val="004E104A"/>
    <w:rsid w:val="00523674"/>
    <w:rsid w:val="005449A2"/>
    <w:rsid w:val="00546902"/>
    <w:rsid w:val="00547E9C"/>
    <w:rsid w:val="00566098"/>
    <w:rsid w:val="00586D9F"/>
    <w:rsid w:val="005C3909"/>
    <w:rsid w:val="005D5F86"/>
    <w:rsid w:val="005E69F4"/>
    <w:rsid w:val="00601736"/>
    <w:rsid w:val="006039C2"/>
    <w:rsid w:val="00606CE2"/>
    <w:rsid w:val="0063229A"/>
    <w:rsid w:val="006324D3"/>
    <w:rsid w:val="006505F1"/>
    <w:rsid w:val="00661266"/>
    <w:rsid w:val="00677901"/>
    <w:rsid w:val="006811B1"/>
    <w:rsid w:val="006965DE"/>
    <w:rsid w:val="006B2B75"/>
    <w:rsid w:val="006C5DAF"/>
    <w:rsid w:val="006D189A"/>
    <w:rsid w:val="006D42D8"/>
    <w:rsid w:val="006F67F8"/>
    <w:rsid w:val="00716C87"/>
    <w:rsid w:val="00721284"/>
    <w:rsid w:val="00750E4A"/>
    <w:rsid w:val="007670E3"/>
    <w:rsid w:val="00770A78"/>
    <w:rsid w:val="00782274"/>
    <w:rsid w:val="007A4029"/>
    <w:rsid w:val="007A45E3"/>
    <w:rsid w:val="007B6E69"/>
    <w:rsid w:val="007E4E52"/>
    <w:rsid w:val="007F09EA"/>
    <w:rsid w:val="00805571"/>
    <w:rsid w:val="00817FD2"/>
    <w:rsid w:val="00874BEC"/>
    <w:rsid w:val="008A4F8F"/>
    <w:rsid w:val="008C0D5B"/>
    <w:rsid w:val="008E4D9A"/>
    <w:rsid w:val="0090066F"/>
    <w:rsid w:val="00915713"/>
    <w:rsid w:val="00924844"/>
    <w:rsid w:val="009300E2"/>
    <w:rsid w:val="00940FF3"/>
    <w:rsid w:val="00956469"/>
    <w:rsid w:val="00957D63"/>
    <w:rsid w:val="00997702"/>
    <w:rsid w:val="009A119D"/>
    <w:rsid w:val="009B6CB3"/>
    <w:rsid w:val="009C65E2"/>
    <w:rsid w:val="00A42016"/>
    <w:rsid w:val="00A76886"/>
    <w:rsid w:val="00AD5229"/>
    <w:rsid w:val="00AE20D9"/>
    <w:rsid w:val="00B139BD"/>
    <w:rsid w:val="00B47A15"/>
    <w:rsid w:val="00B539F2"/>
    <w:rsid w:val="00B677CF"/>
    <w:rsid w:val="00B73F69"/>
    <w:rsid w:val="00B76FC3"/>
    <w:rsid w:val="00B872DB"/>
    <w:rsid w:val="00B927A8"/>
    <w:rsid w:val="00B95702"/>
    <w:rsid w:val="00B9699F"/>
    <w:rsid w:val="00B97C14"/>
    <w:rsid w:val="00BA0904"/>
    <w:rsid w:val="00BB1FF8"/>
    <w:rsid w:val="00BD74E5"/>
    <w:rsid w:val="00BE7185"/>
    <w:rsid w:val="00BF021D"/>
    <w:rsid w:val="00C016C6"/>
    <w:rsid w:val="00C12EBB"/>
    <w:rsid w:val="00C2288E"/>
    <w:rsid w:val="00C239A8"/>
    <w:rsid w:val="00C36091"/>
    <w:rsid w:val="00C3696B"/>
    <w:rsid w:val="00C44D12"/>
    <w:rsid w:val="00C5471C"/>
    <w:rsid w:val="00C57706"/>
    <w:rsid w:val="00C60773"/>
    <w:rsid w:val="00C6117B"/>
    <w:rsid w:val="00C85C4E"/>
    <w:rsid w:val="00C9221F"/>
    <w:rsid w:val="00CC10E1"/>
    <w:rsid w:val="00CD2CF6"/>
    <w:rsid w:val="00CD3C1F"/>
    <w:rsid w:val="00CD5FC5"/>
    <w:rsid w:val="00D1019D"/>
    <w:rsid w:val="00D370CF"/>
    <w:rsid w:val="00D466B2"/>
    <w:rsid w:val="00D607CD"/>
    <w:rsid w:val="00D65B5E"/>
    <w:rsid w:val="00D73FD3"/>
    <w:rsid w:val="00DA7956"/>
    <w:rsid w:val="00DB0110"/>
    <w:rsid w:val="00DE234C"/>
    <w:rsid w:val="00DF4178"/>
    <w:rsid w:val="00E1407F"/>
    <w:rsid w:val="00E14DDD"/>
    <w:rsid w:val="00E46C41"/>
    <w:rsid w:val="00E528AB"/>
    <w:rsid w:val="00E64C63"/>
    <w:rsid w:val="00E9596B"/>
    <w:rsid w:val="00ED1C50"/>
    <w:rsid w:val="00F269AE"/>
    <w:rsid w:val="00F4668A"/>
    <w:rsid w:val="00F479DD"/>
    <w:rsid w:val="00F60237"/>
    <w:rsid w:val="00F7099E"/>
    <w:rsid w:val="00FB75F1"/>
    <w:rsid w:val="00FC7232"/>
    <w:rsid w:val="00FD4F71"/>
    <w:rsid w:val="00FE56C8"/>
    <w:rsid w:val="00FF7109"/>
    <w:rsid w:val="01E3166E"/>
    <w:rsid w:val="021755D8"/>
    <w:rsid w:val="056E0BFB"/>
    <w:rsid w:val="06155C16"/>
    <w:rsid w:val="06BE5839"/>
    <w:rsid w:val="070965ED"/>
    <w:rsid w:val="08FF00E7"/>
    <w:rsid w:val="0DBC7B58"/>
    <w:rsid w:val="0E9E3C5C"/>
    <w:rsid w:val="12DF6A7E"/>
    <w:rsid w:val="15155054"/>
    <w:rsid w:val="167F7A89"/>
    <w:rsid w:val="18D70712"/>
    <w:rsid w:val="19467ED2"/>
    <w:rsid w:val="195B54CB"/>
    <w:rsid w:val="1A9A6D77"/>
    <w:rsid w:val="1BB61F55"/>
    <w:rsid w:val="1C1E0C92"/>
    <w:rsid w:val="1FA45EDD"/>
    <w:rsid w:val="21C649BB"/>
    <w:rsid w:val="232227EA"/>
    <w:rsid w:val="23296EE1"/>
    <w:rsid w:val="23B129E7"/>
    <w:rsid w:val="29E5333E"/>
    <w:rsid w:val="2AF20717"/>
    <w:rsid w:val="2C01024B"/>
    <w:rsid w:val="2C125DA5"/>
    <w:rsid w:val="2C30040F"/>
    <w:rsid w:val="2CC34063"/>
    <w:rsid w:val="2E0F721C"/>
    <w:rsid w:val="33751688"/>
    <w:rsid w:val="35C0067C"/>
    <w:rsid w:val="37040867"/>
    <w:rsid w:val="3AAB6006"/>
    <w:rsid w:val="3D1771C8"/>
    <w:rsid w:val="3D6F4D07"/>
    <w:rsid w:val="3E344EC5"/>
    <w:rsid w:val="4186198B"/>
    <w:rsid w:val="426255A1"/>
    <w:rsid w:val="43CD66F2"/>
    <w:rsid w:val="459D3780"/>
    <w:rsid w:val="47384A2E"/>
    <w:rsid w:val="48073570"/>
    <w:rsid w:val="49D34A09"/>
    <w:rsid w:val="4B3D65BF"/>
    <w:rsid w:val="4BA96C47"/>
    <w:rsid w:val="4BBC4527"/>
    <w:rsid w:val="4C2018F0"/>
    <w:rsid w:val="4C6A7458"/>
    <w:rsid w:val="50543583"/>
    <w:rsid w:val="50CD5318"/>
    <w:rsid w:val="51EB4E5C"/>
    <w:rsid w:val="560B00D0"/>
    <w:rsid w:val="572E2365"/>
    <w:rsid w:val="57C65F86"/>
    <w:rsid w:val="5813404D"/>
    <w:rsid w:val="589C64E1"/>
    <w:rsid w:val="5A0C3073"/>
    <w:rsid w:val="5E4C14D1"/>
    <w:rsid w:val="5E7F6874"/>
    <w:rsid w:val="5E8B544C"/>
    <w:rsid w:val="5F827DA3"/>
    <w:rsid w:val="60124E02"/>
    <w:rsid w:val="63D2388C"/>
    <w:rsid w:val="63F13A1F"/>
    <w:rsid w:val="65A433EB"/>
    <w:rsid w:val="66DE632F"/>
    <w:rsid w:val="681D1208"/>
    <w:rsid w:val="68361F25"/>
    <w:rsid w:val="686A7255"/>
    <w:rsid w:val="68BD77C4"/>
    <w:rsid w:val="690219A2"/>
    <w:rsid w:val="6C02723E"/>
    <w:rsid w:val="6C993A2A"/>
    <w:rsid w:val="6DD53A5A"/>
    <w:rsid w:val="6EBC27B1"/>
    <w:rsid w:val="6F11762D"/>
    <w:rsid w:val="71450B09"/>
    <w:rsid w:val="723E3E43"/>
    <w:rsid w:val="723F3F6C"/>
    <w:rsid w:val="72F8515F"/>
    <w:rsid w:val="73ED1905"/>
    <w:rsid w:val="755D7AAE"/>
    <w:rsid w:val="75C77C3E"/>
    <w:rsid w:val="76662D21"/>
    <w:rsid w:val="77762947"/>
    <w:rsid w:val="77981B3E"/>
    <w:rsid w:val="7A9F774F"/>
    <w:rsid w:val="7DC20F3C"/>
    <w:rsid w:val="7E7A18DD"/>
    <w:rsid w:val="7FDA785C"/>
    <w:rsid w:val="7FE6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qFormat="1" w:uiPriority="39" w:semiHidden="0" w:name="toc 2" w:locked="1"/>
    <w:lsdException w:qFormat="1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0"/>
    <w:qFormat/>
    <w:locked/>
    <w:uiPriority w:val="0"/>
    <w:pPr>
      <w:spacing w:line="360" w:lineRule="auto"/>
      <w:ind w:firstLine="640" w:firstLineChars="200"/>
      <w:outlineLvl w:val="0"/>
    </w:pPr>
    <w:rPr>
      <w:rFonts w:ascii="黑体" w:hAnsi="黑体" w:eastAsia="黑体" w:cs="宋体"/>
      <w:bCs/>
      <w:sz w:val="32"/>
      <w:szCs w:val="32"/>
    </w:rPr>
  </w:style>
  <w:style w:type="paragraph" w:styleId="4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/>
      <w:ind w:firstLine="630"/>
    </w:pPr>
    <w:rPr>
      <w:kern w:val="0"/>
      <w:sz w:val="32"/>
      <w:szCs w:val="32"/>
    </w:rPr>
  </w:style>
  <w:style w:type="paragraph" w:styleId="6">
    <w:name w:val="toc 3"/>
    <w:basedOn w:val="1"/>
    <w:next w:val="1"/>
    <w:unhideWhenUsed/>
    <w:qFormat/>
    <w:locked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7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locked/>
    <w:uiPriority w:val="39"/>
    <w:rPr>
      <w:sz w:val="32"/>
    </w:rPr>
  </w:style>
  <w:style w:type="paragraph" w:styleId="11">
    <w:name w:val="Subtitle"/>
    <w:basedOn w:val="1"/>
    <w:next w:val="1"/>
    <w:link w:val="32"/>
    <w:qFormat/>
    <w:locked/>
    <w:uiPriority w:val="0"/>
    <w:pPr>
      <w:ind w:firstLine="602" w:firstLineChars="200"/>
    </w:pPr>
    <w:rPr>
      <w:rFonts w:ascii="仿宋" w:hAnsi="仿宋" w:eastAsia="仿宋"/>
      <w:b/>
      <w:sz w:val="30"/>
      <w:szCs w:val="30"/>
    </w:rPr>
  </w:style>
  <w:style w:type="paragraph" w:styleId="12">
    <w:name w:val="toc 2"/>
    <w:basedOn w:val="1"/>
    <w:next w:val="1"/>
    <w:unhideWhenUsed/>
    <w:qFormat/>
    <w:locked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Title"/>
    <w:basedOn w:val="1"/>
    <w:next w:val="1"/>
    <w:link w:val="23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6">
    <w:name w:val="Table Grid"/>
    <w:basedOn w:val="1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locked/>
    <w:uiPriority w:val="0"/>
    <w:rPr>
      <w:b/>
      <w:bCs/>
    </w:rPr>
  </w:style>
  <w:style w:type="character" w:styleId="19">
    <w:name w:val="page number"/>
    <w:basedOn w:val="17"/>
    <w:qFormat/>
    <w:uiPriority w:val="99"/>
  </w:style>
  <w:style w:type="character" w:styleId="20">
    <w:name w:val="Emphasis"/>
    <w:basedOn w:val="17"/>
    <w:qFormat/>
    <w:locked/>
    <w:uiPriority w:val="0"/>
    <w:rPr>
      <w:i/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眉 Char"/>
    <w:link w:val="9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23">
    <w:name w:val="标题 Char"/>
    <w:link w:val="14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4">
    <w:name w:val="页脚 Char1"/>
    <w:link w:val="8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25">
    <w:name w:val="批注框文本 Char"/>
    <w:link w:val="7"/>
    <w:qFormat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  <w:style w:type="paragraph" w:customStyle="1" w:styleId="27">
    <w:name w:val="Char"/>
    <w:basedOn w:val="1"/>
    <w:semiHidden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table" w:customStyle="1" w:styleId="28">
    <w:name w:val="网格型1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列表段落"/>
    <w:basedOn w:val="1"/>
    <w:qFormat/>
    <w:uiPriority w:val="99"/>
    <w:pPr>
      <w:ind w:firstLine="420" w:firstLineChars="200"/>
    </w:pPr>
    <w:rPr>
      <w:rFonts w:cs="Times New Roman"/>
      <w:szCs w:val="22"/>
    </w:rPr>
  </w:style>
  <w:style w:type="character" w:customStyle="1" w:styleId="30">
    <w:name w:val="标题 1 Char"/>
    <w:basedOn w:val="17"/>
    <w:link w:val="3"/>
    <w:qFormat/>
    <w:uiPriority w:val="0"/>
    <w:rPr>
      <w:rFonts w:ascii="黑体" w:hAnsi="黑体" w:eastAsia="黑体" w:cs="宋体"/>
      <w:bCs/>
      <w:kern w:val="2"/>
      <w:sz w:val="32"/>
      <w:szCs w:val="32"/>
    </w:rPr>
  </w:style>
  <w:style w:type="paragraph" w:customStyle="1" w:styleId="31">
    <w:name w:val="TOC Heading"/>
    <w:basedOn w:val="3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2">
    <w:name w:val="副标题 Char"/>
    <w:basedOn w:val="17"/>
    <w:link w:val="11"/>
    <w:qFormat/>
    <w:uiPriority w:val="0"/>
    <w:rPr>
      <w:rFonts w:ascii="仿宋" w:hAnsi="仿宋" w:eastAsia="仿宋" w:cs="Calibri"/>
      <w:b/>
      <w:kern w:val="2"/>
      <w:sz w:val="30"/>
      <w:szCs w:val="30"/>
    </w:rPr>
  </w:style>
  <w:style w:type="character" w:customStyle="1" w:styleId="33">
    <w:name w:val="页脚 Char"/>
    <w:basedOn w:val="17"/>
    <w:qFormat/>
    <w:uiPriority w:val="99"/>
    <w:rPr>
      <w:rFonts w:eastAsiaTheme="minorHAnsi"/>
      <w:sz w:val="21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table" w:customStyle="1" w:styleId="3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样式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50350-E91E-4C4C-94ED-555CC2C038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19</Pages>
  <Words>8082</Words>
  <Characters>8536</Characters>
  <Lines>60</Lines>
  <Paragraphs>17</Paragraphs>
  <TotalTime>1</TotalTime>
  <ScaleCrop>false</ScaleCrop>
  <LinksUpToDate>false</LinksUpToDate>
  <CharactersWithSpaces>8573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2022-06-16T03:01:00Z</dcterms:created>
  <dc:creator>Sky123.Org</dc:creator>
  <cp:lastModifiedBy>Y_Y_M</cp:lastModifiedBy>
  <dcterms:modified xsi:type="dcterms:W3CDTF">2022-12-07T16:11:37Z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9D2DDF5B3F154D0E850A385CC8B649EF</vt:lpwstr>
  </property>
</Properties>
</file>