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trike/>
          <w:dstrike w:val="0"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现代学徒制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园艺技术</w:t>
      </w:r>
      <w:r>
        <w:rPr>
          <w:rFonts w:hint="eastAsia" w:ascii="黑体" w:hAnsi="黑体" w:eastAsia="黑体"/>
          <w:b/>
          <w:sz w:val="48"/>
          <w:szCs w:val="48"/>
        </w:rPr>
        <w:t>专业2023级人才培养方案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企业：深圳市五谷网络科技有限公司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学校：惠州工程职业学院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2022</w:t>
      </w:r>
      <w:r>
        <w:rPr>
          <w:rFonts w:hint="eastAsia" w:ascii="宋体"/>
          <w:b/>
          <w:sz w:val="44"/>
          <w:szCs w:val="44"/>
        </w:rPr>
        <w:t>年</w:t>
      </w:r>
      <w:r>
        <w:rPr>
          <w:rFonts w:hint="eastAsia" w:ascii="宋体"/>
          <w:b/>
          <w:sz w:val="44"/>
          <w:szCs w:val="44"/>
          <w:lang w:val="en-US" w:eastAsia="zh-CN"/>
        </w:rPr>
        <w:t>11</w:t>
      </w:r>
      <w:r>
        <w:rPr>
          <w:rFonts w:hint="eastAsia" w:ascii="宋体"/>
          <w:b/>
          <w:sz w:val="44"/>
          <w:szCs w:val="44"/>
        </w:rPr>
        <w:t>月制订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jc w:val="center"/>
        <w:rPr>
          <w:rFonts w:asci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宋体"/>
          <w:b/>
          <w:sz w:val="44"/>
          <w:szCs w:val="44"/>
        </w:rPr>
        <w:br w:type="page"/>
      </w:r>
    </w:p>
    <w:p>
      <w:pPr>
        <w:widowControl/>
        <w:jc w:val="center"/>
        <w:rPr>
          <w:rFonts w:ascii="宋体"/>
          <w:b/>
          <w:sz w:val="13"/>
          <w:szCs w:val="13"/>
        </w:rPr>
      </w:pPr>
    </w:p>
    <w:sdt>
      <w:sdtPr>
        <w:rPr>
          <w:rFonts w:ascii="Calibri" w:hAnsi="Calibri" w:eastAsia="宋体" w:cs="Calibri"/>
          <w:bCs w:val="0"/>
          <w:color w:val="auto"/>
          <w:kern w:val="2"/>
          <w:sz w:val="21"/>
          <w:szCs w:val="21"/>
          <w:lang w:val="zh-CN"/>
        </w:rPr>
        <w:id w:val="-39896275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27"/>
            <w:ind w:firstLine="420"/>
            <w:jc w:val="center"/>
            <w:rPr>
              <w:b/>
              <w:sz w:val="44"/>
              <w:szCs w:val="44"/>
            </w:rPr>
          </w:pPr>
          <w:bookmarkStart w:id="15" w:name="_GoBack"/>
          <w:bookmarkEnd w:id="15"/>
          <w:r>
            <w:rPr>
              <w:b/>
              <w:sz w:val="44"/>
              <w:szCs w:val="44"/>
              <w:lang w:val="zh-CN"/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"_Toc106272291" </w:instrText>
          </w:r>
          <w:r>
            <w:fldChar w:fldCharType="separate"/>
          </w:r>
          <w:r>
            <w:rPr>
              <w:rStyle w:val="17"/>
              <w:rFonts w:hint="eastAsia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_Toc106272291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"_Toc106272292" </w:instrText>
          </w:r>
          <w:r>
            <w:fldChar w:fldCharType="separate"/>
          </w:r>
          <w:r>
            <w:rPr>
              <w:rStyle w:val="17"/>
              <w:rFonts w:hint="eastAsia"/>
            </w:rPr>
            <w:t>二、招生对象、招生与招工方式</w:t>
          </w:r>
          <w:r>
            <w:tab/>
          </w:r>
          <w:r>
            <w:fldChar w:fldCharType="begin"/>
          </w:r>
          <w:r>
            <w:instrText xml:space="preserve"> PAGEREF _Toc106272292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"_Toc106272293" </w:instrText>
          </w:r>
          <w:r>
            <w:fldChar w:fldCharType="separate"/>
          </w:r>
          <w:r>
            <w:rPr>
              <w:rStyle w:val="17"/>
              <w:rFonts w:hint="eastAsia"/>
            </w:rPr>
            <w:t>三、基本学制与学历</w:t>
          </w:r>
          <w:r>
            <w:tab/>
          </w:r>
          <w:r>
            <w:fldChar w:fldCharType="begin"/>
          </w:r>
          <w:r>
            <w:instrText xml:space="preserve"> PAGEREF _Toc106272293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"_Toc106272294" </w:instrText>
          </w:r>
          <w:r>
            <w:fldChar w:fldCharType="separate"/>
          </w:r>
          <w:r>
            <w:rPr>
              <w:rStyle w:val="17"/>
              <w:rFonts w:hint="eastAsia"/>
            </w:rPr>
            <w:t>四、培养目标</w:t>
          </w:r>
          <w:r>
            <w:tab/>
          </w:r>
          <w:r>
            <w:fldChar w:fldCharType="begin"/>
          </w:r>
          <w:r>
            <w:instrText xml:space="preserve"> PAGEREF _Toc106272294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"_Toc106272295" </w:instrText>
          </w:r>
          <w:r>
            <w:fldChar w:fldCharType="separate"/>
          </w:r>
          <w:r>
            <w:rPr>
              <w:rStyle w:val="17"/>
              <w:rFonts w:hint="eastAsia"/>
            </w:rPr>
            <w:t>五、培养方式</w:t>
          </w:r>
          <w:r>
            <w:tab/>
          </w:r>
          <w:r>
            <w:fldChar w:fldCharType="begin"/>
          </w:r>
          <w:r>
            <w:instrText xml:space="preserve"> PAGEREF _Toc106272295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"_Toc106272296" </w:instrText>
          </w:r>
          <w:r>
            <w:fldChar w:fldCharType="separate"/>
          </w:r>
          <w:r>
            <w:rPr>
              <w:rStyle w:val="17"/>
              <w:rFonts w:hint="eastAsia"/>
            </w:rPr>
            <w:t>六、职业范围</w:t>
          </w:r>
          <w:r>
            <w:tab/>
          </w:r>
          <w:r>
            <w:fldChar w:fldCharType="begin"/>
          </w:r>
          <w:r>
            <w:instrText xml:space="preserve"> PAGEREF _Toc106272296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"_Toc106272297" </w:instrText>
          </w:r>
          <w:r>
            <w:fldChar w:fldCharType="separate"/>
          </w:r>
          <w:r>
            <w:rPr>
              <w:rStyle w:val="17"/>
              <w:rFonts w:hint="eastAsia"/>
            </w:rPr>
            <w:t>七、人才规格</w:t>
          </w:r>
          <w:r>
            <w:tab/>
          </w:r>
          <w:r>
            <w:fldChar w:fldCharType="begin"/>
          </w:r>
          <w:r>
            <w:instrText xml:space="preserve"> PAGEREF _Toc106272297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"_Toc106272298" </w:instrText>
          </w:r>
          <w:r>
            <w:fldChar w:fldCharType="separate"/>
          </w:r>
          <w:r>
            <w:rPr>
              <w:rStyle w:val="17"/>
              <w:rFonts w:hint="eastAsia"/>
            </w:rPr>
            <w:t>八、典型工作任务及职业能力分析</w:t>
          </w:r>
          <w:r>
            <w:tab/>
          </w:r>
          <w:r>
            <w:fldChar w:fldCharType="begin"/>
          </w:r>
          <w:r>
            <w:instrText xml:space="preserve"> PAGEREF _Toc106272298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"_Toc106272299" </w:instrText>
          </w:r>
          <w:r>
            <w:fldChar w:fldCharType="separate"/>
          </w:r>
          <w:r>
            <w:rPr>
              <w:rStyle w:val="17"/>
              <w:rFonts w:hint="eastAsia"/>
            </w:rPr>
            <w:t>九、课程结构</w:t>
          </w:r>
          <w:r>
            <w:tab/>
          </w:r>
          <w:r>
            <w:fldChar w:fldCharType="begin"/>
          </w:r>
          <w:r>
            <w:instrText xml:space="preserve"> PAGEREF _Toc106272299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"_Toc106272300" </w:instrText>
          </w:r>
          <w:r>
            <w:fldChar w:fldCharType="separate"/>
          </w:r>
          <w:r>
            <w:rPr>
              <w:rStyle w:val="17"/>
              <w:rFonts w:hint="eastAsia"/>
            </w:rPr>
            <w:t>十、课程内容及要求</w:t>
          </w:r>
          <w:r>
            <w:tab/>
          </w:r>
          <w:r>
            <w:fldChar w:fldCharType="begin"/>
          </w:r>
          <w:r>
            <w:instrText xml:space="preserve"> PAGEREF _Toc106272300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"_Toc106272301" </w:instrText>
          </w:r>
          <w:r>
            <w:fldChar w:fldCharType="separate"/>
          </w:r>
          <w:r>
            <w:rPr>
              <w:rStyle w:val="17"/>
              <w:rFonts w:hint="eastAsia"/>
            </w:rPr>
            <w:t>十一、教学安排</w:t>
          </w:r>
          <w:r>
            <w:tab/>
          </w:r>
          <w:r>
            <w:fldChar w:fldCharType="begin"/>
          </w:r>
          <w:r>
            <w:instrText xml:space="preserve"> PAGEREF _Toc106272301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"_Toc106272302" </w:instrText>
          </w:r>
          <w:r>
            <w:fldChar w:fldCharType="separate"/>
          </w:r>
          <w:r>
            <w:rPr>
              <w:rStyle w:val="17"/>
              <w:rFonts w:hint="eastAsia"/>
            </w:rPr>
            <w:t>十二、教学基本条件</w:t>
          </w:r>
          <w:r>
            <w:tab/>
          </w:r>
          <w:r>
            <w:fldChar w:fldCharType="begin"/>
          </w:r>
          <w:r>
            <w:instrText xml:space="preserve"> PAGEREF _Toc106272302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"_Toc106272303" </w:instrText>
          </w:r>
          <w:r>
            <w:fldChar w:fldCharType="separate"/>
          </w:r>
          <w:r>
            <w:rPr>
              <w:rStyle w:val="17"/>
              <w:rFonts w:hint="eastAsia"/>
            </w:rPr>
            <w:t>十三、教学实施建议</w:t>
          </w:r>
          <w:r>
            <w:tab/>
          </w:r>
          <w:r>
            <w:fldChar w:fldCharType="begin"/>
          </w:r>
          <w:r>
            <w:instrText xml:space="preserve"> PAGEREF _Toc106272303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"_Toc106272304" </w:instrText>
          </w:r>
          <w:r>
            <w:fldChar w:fldCharType="separate"/>
          </w:r>
          <w:r>
            <w:rPr>
              <w:rStyle w:val="17"/>
              <w:rFonts w:hint="eastAsia"/>
            </w:rPr>
            <w:t>十四、毕业要求</w:t>
          </w:r>
          <w:r>
            <w:tab/>
          </w:r>
          <w:r>
            <w:fldChar w:fldCharType="begin"/>
          </w:r>
          <w:r>
            <w:instrText xml:space="preserve"> PAGEREF _Toc106272304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"_Toc106272305" </w:instrText>
          </w:r>
          <w:r>
            <w:fldChar w:fldCharType="separate"/>
          </w:r>
          <w:r>
            <w:rPr>
              <w:rStyle w:val="17"/>
              <w:rFonts w:hint="eastAsia"/>
            </w:rPr>
            <w:t>十五、附录</w:t>
          </w:r>
          <w:r>
            <w:tab/>
          </w:r>
          <w:r>
            <w:fldChar w:fldCharType="begin"/>
          </w:r>
          <w:r>
            <w:instrText xml:space="preserve"> PAGEREF _Toc106272305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r>
            <w:rPr>
              <w:sz w:val="32"/>
            </w:rPr>
            <w:fldChar w:fldCharType="end"/>
          </w:r>
        </w:p>
      </w:sdtContent>
    </w:sdt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br w:type="page"/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现代学徒制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>园艺技术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专业</w:t>
      </w:r>
      <w:r>
        <w:rPr>
          <w:rFonts w:cs="黑体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3级人才培养方案企业：深圳市五谷网络科技有限公司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学校：惠州工程职业学院</w:t>
      </w:r>
    </w:p>
    <w:p>
      <w:pPr>
        <w:spacing w:line="360" w:lineRule="auto"/>
        <w:rPr>
          <w:rFonts w:ascii="黑体" w:eastAsia="黑体" w:cs="黑体"/>
          <w:b/>
          <w:bCs/>
          <w:sz w:val="32"/>
          <w:szCs w:val="32"/>
        </w:rPr>
      </w:pPr>
    </w:p>
    <w:p>
      <w:pPr>
        <w:pStyle w:val="2"/>
      </w:pPr>
      <w:bookmarkStart w:id="0" w:name="_Toc106272291"/>
      <w:r>
        <w:rPr>
          <w:rFonts w:hint="eastAsia"/>
        </w:rPr>
        <w:t>一、专业名称及代码</w:t>
      </w:r>
      <w:bookmarkEnd w:id="0"/>
    </w:p>
    <w:p>
      <w:pPr>
        <w:pStyle w:val="8"/>
      </w:pPr>
      <w:r>
        <w:rPr>
          <w:rFonts w:hint="eastAsia"/>
        </w:rPr>
        <w:t>（一）专业名称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园艺技术</w:t>
      </w:r>
    </w:p>
    <w:p>
      <w:pPr>
        <w:pStyle w:val="8"/>
      </w:pPr>
      <w:r>
        <w:rPr>
          <w:rFonts w:hint="eastAsia"/>
        </w:rPr>
        <w:t>（二）专业代码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410105</w:t>
      </w:r>
    </w:p>
    <w:p>
      <w:pPr>
        <w:pStyle w:val="2"/>
      </w:pPr>
      <w:bookmarkStart w:id="1" w:name="_Toc106272292"/>
      <w:r>
        <w:rPr>
          <w:rFonts w:hint="eastAsia"/>
        </w:rPr>
        <w:t>二、招生对象、招生与招工方式</w:t>
      </w:r>
      <w:bookmarkEnd w:id="1"/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招生对象</w:t>
      </w:r>
      <w:r>
        <w:rPr>
          <w:rFonts w:hint="eastAsia" w:ascii="仿宋" w:hAnsi="仿宋" w:eastAsia="仿宋"/>
          <w:sz w:val="30"/>
          <w:szCs w:val="30"/>
        </w:rPr>
        <w:t>：合作企业在职员工及相关子公司员工。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招生与招工方式：</w:t>
      </w:r>
      <w:r>
        <w:rPr>
          <w:rFonts w:hint="eastAsia" w:ascii="仿宋" w:hAnsi="仿宋" w:eastAsia="仿宋"/>
          <w:sz w:val="30"/>
          <w:szCs w:val="30"/>
        </w:rPr>
        <w:t>由企业推荐符合广东省高考报名条件的在职员工报考，企业联合学校共同组织自主招生考试，考试合格后方可录取注册为在校生，实现员工的学生身份。</w:t>
      </w:r>
    </w:p>
    <w:p>
      <w:pPr>
        <w:pStyle w:val="2"/>
      </w:pPr>
      <w:bookmarkStart w:id="2" w:name="_Toc106272293"/>
      <w:r>
        <w:rPr>
          <w:rFonts w:hint="eastAsia"/>
        </w:rPr>
        <w:t>三、基本学制与学历</w:t>
      </w:r>
      <w:bookmarkEnd w:id="2"/>
    </w:p>
    <w:p>
      <w:pPr>
        <w:pStyle w:val="8"/>
      </w:pPr>
      <w:r>
        <w:rPr>
          <w:rFonts w:hint="eastAsia"/>
        </w:rPr>
        <w:t>（一）学制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基本学制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三年</w:t>
      </w:r>
      <w:r>
        <w:rPr>
          <w:rFonts w:hint="eastAsia" w:ascii="仿宋" w:hAnsi="仿宋" w:eastAsia="仿宋"/>
          <w:sz w:val="30"/>
          <w:szCs w:val="30"/>
        </w:rPr>
        <w:t>，实行弹性学制，学生总修业时间（不含休学）不得超过五年。</w:t>
      </w:r>
    </w:p>
    <w:p>
      <w:pPr>
        <w:pStyle w:val="8"/>
      </w:pPr>
      <w:r>
        <w:rPr>
          <w:rFonts w:hint="eastAsia"/>
        </w:rPr>
        <w:t>（二）学历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学生修满学分，并符合毕业条件和要求，可获得高职院校普通专科毕业证书。</w:t>
      </w:r>
    </w:p>
    <w:p>
      <w:pPr>
        <w:pStyle w:val="2"/>
      </w:pPr>
      <w:bookmarkStart w:id="3" w:name="_Toc106272294"/>
      <w:r>
        <w:rPr>
          <w:rFonts w:hint="eastAsia"/>
        </w:rPr>
        <w:t>四、培养目标</w:t>
      </w:r>
      <w:bookmarkEnd w:id="3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本专业培养与我国社会主义现代化建设要求相适应，德、智、体、美、劳全面发展，面向合作企业，既能从事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花卉、蔬菜和果树的繁育、栽培、营销、管理</w:t>
      </w:r>
      <w:r>
        <w:rPr>
          <w:rFonts w:hint="eastAsia" w:ascii="仿宋" w:hAnsi="仿宋" w:eastAsia="仿宋"/>
          <w:sz w:val="30"/>
          <w:szCs w:val="30"/>
        </w:rPr>
        <w:t>等工作，又能胜任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园艺植物生产繁殖与产品</w:t>
      </w: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>营销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、园艺技术服务</w:t>
      </w:r>
      <w:r>
        <w:rPr>
          <w:rFonts w:hint="eastAsia" w:ascii="仿宋" w:hAnsi="仿宋" w:eastAsia="仿宋" w:cs="Times New Roman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>花艺设计、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园艺企业经营管理</w:t>
      </w:r>
      <w:r>
        <w:rPr>
          <w:rFonts w:hint="eastAsia" w:ascii="仿宋" w:hAnsi="仿宋" w:eastAsia="仿宋"/>
          <w:sz w:val="30"/>
          <w:szCs w:val="30"/>
        </w:rPr>
        <w:t>学徒岗位工作，具有敬业、专注、忠诚、创新的工匠精神，</w:t>
      </w:r>
      <w:r>
        <w:rPr>
          <w:rFonts w:hint="eastAsia" w:ascii="仿宋" w:hAnsi="仿宋" w:eastAsia="仿宋"/>
          <w:color w:val="auto"/>
          <w:sz w:val="30"/>
          <w:szCs w:val="30"/>
        </w:rPr>
        <w:t>具备园艺作物生产员、园艺植物植保员、园艺产品销售员、园艺生产管理员等职业能力</w:t>
      </w:r>
      <w:r>
        <w:rPr>
          <w:rFonts w:hint="eastAsia" w:ascii="仿宋" w:hAnsi="仿宋" w:eastAsia="仿宋"/>
          <w:sz w:val="30"/>
          <w:szCs w:val="30"/>
        </w:rPr>
        <w:t>，以及自主学习能力，在生产、建设、服务、管理第一线的发展型、复合型和创新型的技术技能人才。</w:t>
      </w:r>
    </w:p>
    <w:p>
      <w:pPr>
        <w:pStyle w:val="2"/>
      </w:pPr>
      <w:bookmarkStart w:id="4" w:name="_Toc106272295"/>
      <w:r>
        <w:rPr>
          <w:rFonts w:hint="eastAsia"/>
        </w:rPr>
        <w:t>五、培养方式</w:t>
      </w:r>
      <w:bookmarkEnd w:id="4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和企业联合招生、联合培养、一体化育人。校企以“合作共赢、职责共担”原则，组建专业指导委员会，定期召开座谈会，共同研制人才培养方案，共同践行“理实互通，素养本位”的人才培养模式。职业院校承担系统的专业知识学习和技术技能训练；企业通过师傅带徒形式，依据培养方案进行岗位技术技能训练，教学任务必须由学校教师和企业师傅共同承担，形成双导师制。</w:t>
      </w:r>
    </w:p>
    <w:p>
      <w:pPr>
        <w:pStyle w:val="2"/>
      </w:pPr>
      <w:bookmarkStart w:id="5" w:name="_Toc106272296"/>
      <w:r>
        <w:rPr>
          <w:rFonts w:hint="eastAsia"/>
        </w:rPr>
        <w:t>六、职业范围</w:t>
      </w:r>
      <w:bookmarkEnd w:id="5"/>
    </w:p>
    <w:p>
      <w:pPr>
        <w:pStyle w:val="8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（一）职业生涯发展路径</w:t>
      </w:r>
    </w:p>
    <w:p>
      <w:pPr>
        <w:jc w:val="center"/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</w:pPr>
    </w:p>
    <w:p>
      <w:pPr>
        <w:jc w:val="center"/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</w:pPr>
    </w:p>
    <w:p>
      <w:pPr>
        <w:jc w:val="center"/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</w:pPr>
    </w:p>
    <w:p>
      <w:pPr>
        <w:jc w:val="center"/>
        <w:rPr>
          <w:rFonts w:ascii="方正小标宋简体" w:hAnsi="黑体" w:eastAsia="方正小标宋简体" w:cs="Times New Roman"/>
          <w:kern w:val="0"/>
        </w:rPr>
      </w:pP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  <w:u w:val="single"/>
          <w:lang w:val="en-US" w:eastAsia="zh-CN"/>
        </w:rPr>
        <w:t>园艺技术</w:t>
      </w: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</w:rPr>
        <w:t>专业职业生涯发展路径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922"/>
        <w:gridCol w:w="1174"/>
        <w:gridCol w:w="1174"/>
        <w:gridCol w:w="1174"/>
        <w:gridCol w:w="104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发展阶段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学徒岗位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就业岗位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生产</w:t>
            </w:r>
            <w:r>
              <w:rPr>
                <w:rFonts w:hint="eastAsia" w:ascii="宋体" w:hAnsi="宋体"/>
              </w:rPr>
              <w:t>类岗位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技术</w:t>
            </w:r>
            <w:r>
              <w:rPr>
                <w:rFonts w:hint="eastAsia" w:ascii="宋体" w:hAnsi="宋体"/>
              </w:rPr>
              <w:t>类岗位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 w:ascii="宋体" w:hAnsi="宋体"/>
              </w:rPr>
              <w:t>类岗位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V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园艺企业管理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产品经理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人事经理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5-8年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IV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园艺产品与农资营销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营销员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营销师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销售经理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专科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3-5年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3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农业技术服务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植保员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园艺师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高级园艺师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专科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1-2年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2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园艺植物生产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园艺工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技术员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生产经理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专科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6-12个月</w:t>
            </w:r>
          </w:p>
        </w:tc>
      </w:tr>
    </w:tbl>
    <w:p>
      <w:pPr>
        <w:rPr>
          <w:rFonts w:ascii="仿宋_GB2312" w:eastAsia="仿宋_GB2312" w:cs="仿宋_GB2312"/>
          <w:shd w:val="clear" w:color="auto" w:fill="FFFFFF"/>
        </w:rPr>
      </w:pP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>注：</w:t>
      </w:r>
      <w:r>
        <w:rPr>
          <w:rFonts w:ascii="仿宋_GB2312" w:eastAsia="仿宋_GB2312" w:cs="仿宋_GB2312"/>
          <w:shd w:val="clear" w:color="auto" w:fill="FFFFFF"/>
        </w:rPr>
        <w:t>1.</w:t>
      </w:r>
      <w:r>
        <w:rPr>
          <w:rFonts w:hint="eastAsia" w:ascii="仿宋_GB2312" w:eastAsia="仿宋_GB2312" w:cs="仿宋_GB2312"/>
          <w:shd w:val="clear" w:color="auto" w:fill="FFFFFF"/>
        </w:rPr>
        <w:t>“发展阶段”应依据国家、行业企业的有关规定以及调查分析确定，将职业发展分为若干个阶段，阶段数量因各专业的具体情况而不同。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2.</w:t>
      </w:r>
      <w:r>
        <w:rPr>
          <w:rFonts w:hint="eastAsia" w:ascii="仿宋_GB2312" w:eastAsia="仿宋_GB2312" w:cs="仿宋_GB2312"/>
          <w:shd w:val="clear" w:color="auto" w:fill="FFFFFF"/>
        </w:rPr>
        <w:t>“就业岗位”的分类仅供参考，各专业可以自行分类。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3.</w:t>
      </w:r>
      <w:r>
        <w:rPr>
          <w:rFonts w:hint="eastAsia" w:ascii="仿宋_GB2312" w:eastAsia="仿宋_GB2312" w:cs="仿宋_GB2312"/>
          <w:shd w:val="clear" w:color="auto" w:fill="FFFFFF"/>
        </w:rPr>
        <w:t>“学历层次”只是要明确高职对应的层次。</w:t>
      </w:r>
    </w:p>
    <w:p>
      <w:pPr>
        <w:pStyle w:val="8"/>
      </w:pPr>
      <w:r>
        <w:rPr>
          <w:rFonts w:hint="eastAsia"/>
        </w:rPr>
        <w:t>（二）面向职业范围</w:t>
      </w:r>
      <w:r>
        <w:t xml:space="preserve">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513"/>
        <w:gridCol w:w="241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51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对应职业（岗位群）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学徒目标方向</w:t>
            </w:r>
          </w:p>
        </w:tc>
        <w:tc>
          <w:tcPr>
            <w:tcW w:w="224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职业资格证书举例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园艺植物生产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花卉\果树\蔬菜\食用菌生产管理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设施蔬菜生产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花卉园艺工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园艺植物繁育与养护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植物养护、苗木养护、施肥配方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菌类园艺工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蔬菜园艺工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农业技术服务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新品种推广、标准化生产技术推广、农业技术服务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肥料配方师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园艺产品与农资营销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园艺产品营销、农资（种子、肥料、农药、苗木等）营销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</w:rPr>
              <w:t>农作物植保员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园艺植物生产</w:t>
      </w:r>
      <w:r>
        <w:rPr>
          <w:rFonts w:hint="eastAsia" w:ascii="仿宋" w:hAnsi="仿宋" w:eastAsia="仿宋"/>
          <w:sz w:val="30"/>
          <w:szCs w:val="30"/>
        </w:rPr>
        <w:t>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负责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花卉、果树、蔬菜、食用菌</w:t>
      </w:r>
      <w:r>
        <w:rPr>
          <w:rFonts w:hint="eastAsia" w:ascii="仿宋" w:hAnsi="仿宋" w:eastAsia="仿宋"/>
          <w:sz w:val="30"/>
          <w:szCs w:val="30"/>
        </w:rPr>
        <w:t>生产，具有应用性试验研究能力，具有技术开发能力，具有农业技术推广能力。</w:t>
      </w:r>
    </w:p>
    <w:p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园艺植物繁育与养护岗位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负责植物养护、苗木养护、施肥配方，具有应用性试验研究能力，具备技术开发能力，具有农业技术推广能力。</w:t>
      </w:r>
    </w:p>
    <w:p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农业技术服务岗位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负责新品种推广、标准化生产技术推广、农业技术推广，具有农业技术推广能力。</w:t>
      </w:r>
    </w:p>
    <w:p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园艺产品与农资营销岗位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负责园艺产品营销、农资（种子、肥料、农药、苗木等）营销，具有具有较强的统筹规划能力、人际沟通能力和团队协调能力。</w:t>
      </w:r>
    </w:p>
    <w:p>
      <w:pPr>
        <w:pStyle w:val="2"/>
      </w:pPr>
      <w:bookmarkStart w:id="6" w:name="_Toc106272297"/>
      <w:r>
        <w:rPr>
          <w:rFonts w:hint="eastAsia"/>
        </w:rPr>
        <w:t>七、人才规格</w:t>
      </w:r>
      <w:bookmarkEnd w:id="6"/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．职业素养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职业素养</w:t>
            </w:r>
          </w:p>
        </w:tc>
        <w:tc>
          <w:tcPr>
            <w:tcW w:w="36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432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）具有较强的服务意识，较强的口头表达能力和网络沟通能力；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（2）具有继续学习能力，较强的工作执行力；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（3）具有熟练使用计算机进行数据搜集和整理的能力；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（4）具有团队合作精神、责任意识、法律意识和诚信意识；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（5）具有初步的分析问题和解决问题的能力，具有创新意识；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（6）具有对新知识、新技能的学习能力。</w:t>
            </w:r>
          </w:p>
        </w:tc>
        <w:tc>
          <w:tcPr>
            <w:tcW w:w="3663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）具有良好的职业态度和职业道德修养，具有正确的择业观；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）敬业、专注、忠诚、创新的工匠精神；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（3）掌握理性分析问题的方法，具有数据思维，具备主动解决问题的意识与建构策略方案的能力；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（4）思维活跃、行动积极，具有自我成就意识。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2</w:t>
      </w:r>
      <w:r>
        <w:rPr>
          <w:rFonts w:hint="eastAsia" w:ascii="仿宋" w:hAnsi="仿宋" w:eastAsia="仿宋"/>
          <w:sz w:val="30"/>
          <w:szCs w:val="30"/>
        </w:rPr>
        <w:t>．专业能力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</w:t>
            </w:r>
          </w:p>
        </w:tc>
        <w:tc>
          <w:tcPr>
            <w:tcW w:w="38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183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1）熟悉园艺植物形态、生长发育规律及基本特性；掌握组培与播种、扦插、嫁接等繁殖方法。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（2）掌握环境对植物生长的影响和处理方法；掌握园艺设施类型及环境调控方法。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（3）掌握园艺植物的养护与管理；掌握常见病虫害防治方法。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（4）熟知植物造型技法及园艺植物室内外环境装饰设计与布景；掌握花艺设计的方法。</w:t>
            </w:r>
          </w:p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（5）掌握园艺植物的营销方法与策略。</w:t>
            </w:r>
          </w:p>
        </w:tc>
        <w:tc>
          <w:tcPr>
            <w:tcW w:w="3805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（1）具有常见果树、蔬菜和花卉生产能力。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（2） 具有常见园艺作物病虫草害绿色防控能力。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（3） 具有规范使用、维护现代园艺装备的能力。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（4） 具有应用互联网技术开展园艺产品营销的能力。</w:t>
            </w:r>
          </w:p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（5）掌握绿色园艺和生态农业生产方式。</w:t>
            </w:r>
          </w:p>
        </w:tc>
      </w:tr>
    </w:tbl>
    <w:p>
      <w:pPr>
        <w:pStyle w:val="2"/>
      </w:pPr>
      <w:bookmarkStart w:id="7" w:name="_Toc106272298"/>
      <w:r>
        <w:rPr>
          <w:rFonts w:hint="eastAsia"/>
        </w:rPr>
        <w:t>八、典型工作任务及职业能力分析</w:t>
      </w:r>
      <w:bookmarkEnd w:id="7"/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根据本专业园艺植物生产</w:t>
      </w:r>
      <w:r>
        <w:rPr>
          <w:rFonts w:hint="eastAsia" w:ascii="仿宋" w:hAnsi="仿宋" w:eastAsia="仿宋"/>
          <w:sz w:val="30"/>
          <w:szCs w:val="30"/>
          <w:lang w:eastAsia="zh-CN"/>
        </w:rPr>
        <w:t>、园艺植物繁育与养护、农业技术服务、园艺产品与农资营销</w:t>
      </w:r>
      <w:r>
        <w:rPr>
          <w:rFonts w:hint="eastAsia" w:ascii="仿宋" w:hAnsi="仿宋" w:eastAsia="仿宋"/>
          <w:sz w:val="30"/>
          <w:szCs w:val="30"/>
        </w:rPr>
        <w:t>目标岗位，结合职业特征，运用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项目教学</w:t>
      </w:r>
      <w:r>
        <w:rPr>
          <w:rFonts w:hint="eastAsia" w:ascii="仿宋" w:hAnsi="仿宋" w:eastAsia="仿宋"/>
          <w:sz w:val="30"/>
          <w:szCs w:val="30"/>
        </w:rPr>
        <w:t>等方法，开展行业企业专家研讨，获得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个典型工作任务，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工作任务，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条职业能力点。典型工作任务见下表。</w:t>
      </w:r>
    </w:p>
    <w:p>
      <w:pPr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典型工作任务一栏表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3686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典型工作任务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工作项目及职业能力要求</w:t>
            </w: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园艺植物生产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花卉、果树、蔬菜、食用菌生产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园艺植物繁育与养护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植物养护、苗木养护、施肥配方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农业技术服务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新品种推广、标准化生产技术推广、农业技术推广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园艺产品与农资营销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园艺产品营销、农资（种子、肥料、农药、苗木等）营销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>
      <w:pPr>
        <w:pStyle w:val="2"/>
      </w:pPr>
      <w:bookmarkStart w:id="8" w:name="_Toc106272299"/>
      <w:r>
        <w:rPr>
          <w:rFonts w:hint="eastAsia"/>
        </w:rPr>
        <w:t>九、课程结构</w:t>
      </w:r>
      <w:bookmarkEnd w:id="8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本专业的课程体系建构根据相关的岗位人员工作内容设置，基于深圳市五谷网络科技有限公司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的生产、技术、管理</w:t>
      </w:r>
      <w:r>
        <w:rPr>
          <w:rFonts w:hint="eastAsia" w:ascii="仿宋" w:hAnsi="仿宋" w:eastAsia="仿宋"/>
          <w:sz w:val="30"/>
          <w:szCs w:val="30"/>
        </w:rPr>
        <w:t>典型岗位与工作过程、融入企业与行业职业资格标准，构建“四段”课程体系框架，即职业基础性课程、职业能力性课程、职业拓展性课程和企业特色性课程，分别培养学生精于工、品与行、创于新、匠与心的核心能力，并在每个阶段融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劳动</w:t>
      </w:r>
      <w:r>
        <w:rPr>
          <w:rFonts w:hint="eastAsia" w:ascii="仿宋" w:hAnsi="仿宋" w:eastAsia="仿宋"/>
          <w:sz w:val="30"/>
          <w:szCs w:val="30"/>
        </w:rPr>
        <w:t>素养培养，强化学生的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创新</w:t>
      </w:r>
      <w:r>
        <w:rPr>
          <w:rFonts w:hint="eastAsia" w:ascii="仿宋" w:hAnsi="仿宋" w:eastAsia="仿宋"/>
          <w:sz w:val="30"/>
          <w:szCs w:val="30"/>
        </w:rPr>
        <w:t>思维，提升学生的实践能力。</w:t>
      </w:r>
    </w:p>
    <w:tbl>
      <w:tblPr>
        <w:tblStyle w:val="1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6"/>
        <w:gridCol w:w="55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课程模块</w:t>
            </w:r>
          </w:p>
        </w:tc>
        <w:tc>
          <w:tcPr>
            <w:tcW w:w="552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共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思想道德与法治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毛泽东思想和中国特色社会主义理论体系概论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习近平新时代中国特色社会主义思想概论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形势与政策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高等应用数学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英语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计算机应用基础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体育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就业指导与职业生涯设计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创新创业基础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心理素质拓展课程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default" w:ascii="宋体" w:eastAsia="宋体" w:cs="Times New Roman"/>
                <w:lang w:val="en-US" w:eastAsia="zh-CN"/>
              </w:rPr>
              <w:t>植物与植物生理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default" w:ascii="宋体" w:eastAsia="宋体" w:cs="Times New Roman"/>
                <w:lang w:val="en-US" w:eastAsia="zh-CN"/>
              </w:rPr>
              <w:t>设施园艺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default" w:ascii="宋体" w:eastAsia="宋体" w:cs="Times New Roman"/>
                <w:lang w:val="en-US" w:eastAsia="zh-CN"/>
              </w:rPr>
              <w:t>土壤肥料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default" w:ascii="宋体" w:eastAsia="宋体" w:cs="Times New Roman"/>
                <w:lang w:val="en-US" w:eastAsia="zh-CN"/>
              </w:rPr>
              <w:t>植物组织培养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花卉栽培技术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蔬菜栽培技术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top"/>
          </w:tcPr>
          <w:p>
            <w:pPr>
              <w:spacing w:line="360" w:lineRule="auto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果树栽培技术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植物病虫害防治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园艺产品贮藏与保鲜加工技术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园艺产品营销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</w:rPr>
              <w:t>毕业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设计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社会实践与志愿者服务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劳动教育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学徒岗位能力课程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植物识别实训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花卉生产实训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蔬菜生产实训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果树生产实训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食用菌生产实训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园艺产品加工实训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cs="Times New Roman"/>
              </w:rPr>
            </w:pPr>
            <w:r>
              <w:rPr>
                <w:rFonts w:hint="eastAsia" w:ascii="宋体" w:cs="Times New Roman"/>
              </w:rPr>
              <w:t>园艺专业综合实训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农产品新媒体运营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食用菌栽培技术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花卉装饰技术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农业物联网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  <w:lang w:val="en-US" w:eastAsia="zh-CN"/>
              </w:rPr>
              <w:t>选修课</w:t>
            </w:r>
          </w:p>
        </w:tc>
      </w:tr>
    </w:tbl>
    <w:p>
      <w:pPr>
        <w:pStyle w:val="2"/>
      </w:pPr>
      <w:bookmarkStart w:id="9" w:name="_Toc106272300"/>
      <w:r>
        <w:rPr>
          <w:rFonts w:hint="eastAsia"/>
        </w:rPr>
        <w:t>十、课程内容及要求</w:t>
      </w:r>
      <w:bookmarkEnd w:id="9"/>
    </w:p>
    <w:p>
      <w:pPr>
        <w:pStyle w:val="8"/>
        <w:rPr>
          <w:rFonts w:cs="Times New Roman"/>
        </w:rPr>
      </w:pPr>
      <w:r>
        <w:rPr>
          <w:rFonts w:hint="eastAsia"/>
        </w:rPr>
        <w:t>（一）公共基础课程</w:t>
      </w:r>
    </w:p>
    <w:tbl>
      <w:tblPr>
        <w:tblStyle w:val="1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69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9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思想</w:t>
            </w: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道德与法治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针对大学生开展马克思主义的世界观、人生观、价值观教育，使学生成长为自觉担当民族复兴大任的时代新人。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毛泽东思想和中国特色社会主义理论体系概论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掌握毛泽东思想和中国特色社会主义理论体系的基本原理，提高分析问题的能力，成为中国特色社会主义合格建设者和可靠接班人。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习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近平新时代中国特色社会主义思想概论</w:t>
            </w:r>
          </w:p>
        </w:tc>
        <w:tc>
          <w:tcPr>
            <w:tcW w:w="4694" w:type="dxa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习近平新时代中国特色社会主义思想的主要内容是“十个明确”和“十四个坚持”“十三个方面成就”。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全面贯彻党的教育方针，培育和践行社会主义核心价值观，落实立德树人根本任务，进一步促进学生政治理论学科核心素养的发展，培养具有爱国情怀、政治意识的高素质技术技能人才。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形势与政策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了解国内外重大时事，全面认识和正确理解党的基本路线、重大方针和政策，认清国际国内形势发展的大局和大趋势，全面正确地认识党和国家面临的形势和任务，激发爱国热情，增强民族自信心和社会责任感，珍惜和维护稳定大局，确立建设有中国特色社会主义的理想和信念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高等应用数学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掌握一元函数微积分学和概率论与数理统计，数学实验与数学软件等内容，具有基本的计算能力。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英语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掌握英语学习的方法和策略，具有较强的英语听、说、读、写、译能力，能够运用英语在日常生活和职业领域开展交际活动。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信息技术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计算机信息技术基本原理及应用；掌握Office办公软件的应用；掌握人工智能的基本概念、基本理论与方法、推理机制和智能问题求解技术；掌握人工智能在各种场景的应用；培养运用办公软件解决本专业及相关领域实际问题的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体育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通过合理的体育教育和科学的体育锻炼，达到增强体质、增进健康，培养终身体育意识，促进学生全面发展。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就业指导与职业生涯设计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将立德树人融入生涯教育的始终。通过职业规划，帮助学生了解自己和职场，找到职业发展方向；通过就业辅导，帮助学生树立正确的就业观，提高竞争力。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创新创业基础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培养学生创新意识，树立创新强国的理念，掌握开展创新创业活动所需的相关知识，锻炼学生发现问题并创新地解决问题的能力。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心理素质拓展教育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树立心理健康与安全意识，掌握维护健康与安全的知识和技能，提高应对健康与安全风险的能力，增强维护全民健康与安全的社会责任感。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  <w:r>
              <w:rPr>
                <w:rFonts w:ascii="仿宋" w:hAnsi="仿宋" w:eastAsia="仿宋" w:cs="Tahoma"/>
                <w:bCs/>
                <w:kern w:val="0"/>
              </w:rPr>
              <w:t>8</w:t>
            </w:r>
          </w:p>
        </w:tc>
      </w:tr>
    </w:tbl>
    <w:p>
      <w:pPr>
        <w:pStyle w:val="8"/>
        <w:rPr>
          <w:rFonts w:cs="Times New Roman"/>
        </w:rPr>
      </w:pPr>
      <w:r>
        <w:rPr>
          <w:rFonts w:hint="eastAsia"/>
        </w:rPr>
        <w:t>（二）专业技术技能课程</w:t>
      </w:r>
    </w:p>
    <w:tbl>
      <w:tblPr>
        <w:tblStyle w:val="12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96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植物与植物生理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2-1-1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植物的形态结构与功能、植物光合作用、呼吸作用、植物生长与环境调控、植物的生长发育。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设施园艺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2-2-3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园艺工程设施，环境调节控制设施，湿、气的监测仪器和自动控制等配套使用技术、地域能源开发与利用技术、园艺机械的使用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土壤肥料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2-2-1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本课程主要内容包括绪论、土壤的物质組戎、土壤的基本任质、土壤的氮素养分与氮肥、土嚷的磷素养分与磷肥、土嚷的钾素养分与钾肥、微量元素与复混肥料、有机肥料、合理施肥与土壤培肥技术、土壤资源保护和利用等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植物组织培养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2-1-1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植物组织培养基本操作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离体培养体系建立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植物组织培养工厂化育苗技术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植物组织培养育苗生产管理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花卉栽培技术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1-3-1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花卉的繁殖育苗及栽培养护等方面的基础理论和技能操作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蔬菜栽培技术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1-2-1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掌握蔬菜栽培管理的基本理论和基本技能，具备现代蔬菜基地规划设计以及组织管理的能力，掌握主要蔬菜作物的生物学特性、品种选用、生产方式、生产季节及其主要栽培技术等，掌握我国南方露地栽培、设施栽培技术的特点和重点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果树栽培技术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1-1-1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果树生产的基础知识；果树生产的基本技术；柑橘；荔枝；龙眼；芒果；香蕉；枇杷；其他果树。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植物病虫害防治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2-2-2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绪论、园艺植物病害识别技术、园艺植物昆虫识别技术、园艺植物病虫害调查与测报技术、园艺植物病虫害综合治理技术、蔬菜病害防治技术、蔬菜虫害防治技术、果树病害防治技术、果树虫害防治技术、观赏植物病害防治技术、观赏植物虫害纺织技术等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园艺产品贮藏与保鲜加工技术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1-1-3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1-2-3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1-4-3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贮藏保鲜技术、采前、采后处理、采收时间、园艺产品采后贮藏加工方法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园艺产品营销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4-1-3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认知园艺产品营销理念和方法、调查和预测园艺产品市场、制定实施园艺产品营销策略及行动方案。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</w:tbl>
    <w:p>
      <w:pPr>
        <w:pStyle w:val="8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注：“对接典型工作任务及职业能力”填写典型工作任务和职业能力编码，编码与附件的职业能力分析表对应，学科课程除外。</w:t>
      </w:r>
    </w:p>
    <w:p>
      <w:pPr>
        <w:pStyle w:val="8"/>
        <w:rPr>
          <w:rFonts w:cs="Times New Roman"/>
        </w:rPr>
      </w:pPr>
      <w:r>
        <w:rPr>
          <w:rFonts w:hint="eastAsia"/>
        </w:rPr>
        <w:t>（三）学徒岗位能力课程</w:t>
      </w:r>
    </w:p>
    <w:tbl>
      <w:tblPr>
        <w:tblStyle w:val="1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023"/>
        <w:gridCol w:w="364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023" w:type="dxa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64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植物识别实训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2-1-1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掌握植物及品种的识别能力，掌握水果、蔬菜、花卉、食用菌、经济作物等的种苗繁育能力、种质资源的收集保存鉴别。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花卉生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实训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1-3-2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花卉种类识别；花卉扦插繁殖；花卉嫁接繁殖；培养土的配制；花卉的上盆、换盆、翻盆技术；露地花卉的栽培管理；鲜切花的栽培、采收、分级、包装、保鲜；盆花的栽培管理与组合盆栽；花卉整形修剪。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蔬菜生产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实训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1-2-2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蔬菜种类识别；蔬菜种子识别；蔬菜育苗技术；整枝、搭架等技术；保花保果、催熟；种子播种前处理；蔬菜嫁接、扦插繁殖和田间管理。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果树生产实训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1-1-2</w:t>
            </w:r>
          </w:p>
        </w:tc>
        <w:tc>
          <w:tcPr>
            <w:tcW w:w="3644" w:type="dxa"/>
            <w:vAlign w:val="top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能根据果树的叶、花、果、枝等特征识别常见果树，并对其分类；通过观察能够说出树体各部分名称和其生长发育特点；能够独立进行果树苗木的繁殖；能够进行小型果园种植设计与建设；能够独立完成果树的土肥水管理、花果管理、整形修剪和病虫害防治工作；能够独立完成果园管理方案的制订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食用菌生产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实训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1-4-2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食用菌母种制作；子实体分离；原种和栽培种制作；菌种保藏；平菇熟料袋栽。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园艺产品加工实训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1-1-3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1-2-3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加工用水的净化处理；加工原料的分级和清洗；加工机械的使用；原料的切分和修整；原料的漂烫、硬化和护色；常见加工品的加工工艺和操作技术；加工品的消毒；加工品的包装和贮藏。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园艺专业综合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实训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4-1-1</w:t>
            </w:r>
          </w:p>
        </w:tc>
        <w:tc>
          <w:tcPr>
            <w:tcW w:w="3644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鲜切花、盆花、露地花卉的栽培管理；蔬菜的播种育苗与田间管理；食用菌的制种及栽培管理；园艺植物病虫害诊断及综合防治；园艺植物的良种繁育；果蔬产品的加工及贮藏。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216</w:t>
            </w:r>
          </w:p>
        </w:tc>
      </w:tr>
    </w:tbl>
    <w:p>
      <w:pPr>
        <w:pStyle w:val="8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注：“对接典型工作任务及职业能力”填写职业能力编码，编码与附件的职业能力分析表对应，学科课程除外。</w:t>
      </w:r>
    </w:p>
    <w:p>
      <w:pPr>
        <w:pStyle w:val="2"/>
        <w:rPr>
          <w:rFonts w:cs="Times New Roman"/>
        </w:rPr>
      </w:pPr>
      <w:bookmarkStart w:id="10" w:name="_Toc106272301"/>
      <w:r>
        <w:rPr>
          <w:rFonts w:hint="eastAsia"/>
        </w:rPr>
        <w:t>十一、教学安排</w:t>
      </w:r>
      <w:bookmarkEnd w:id="10"/>
    </w:p>
    <w:p>
      <w:pPr>
        <w:pStyle w:val="8"/>
        <w:rPr>
          <w:rStyle w:val="15"/>
          <w:b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eastAsia"/>
        </w:rPr>
        <w:t>（一）教学进程安排</w:t>
      </w:r>
    </w:p>
    <w:tbl>
      <w:tblPr>
        <w:tblStyle w:val="12"/>
        <w:tblW w:w="16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17"/>
        <w:gridCol w:w="2273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5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2023级园艺技术专业现代学徒制教学进程表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6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各学期周数、学</w:t>
            </w:r>
          </w:p>
        </w:tc>
        <w:tc>
          <w:tcPr>
            <w:tcW w:w="30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教学场所、学时分配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时分配</w:t>
            </w:r>
          </w:p>
        </w:tc>
        <w:tc>
          <w:tcPr>
            <w:tcW w:w="30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高等应用数学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就业指导与职业生涯设计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心理素质拓展教育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专业课程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植物与植物生理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土壤肥料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植物组织培养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花卉栽培技术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果树栽培技术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植物病虫害防治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园艺产品贮藏与保鲜加工技术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园艺产品营销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社会实践与志愿者服务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学徒岗位能力课程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植物识别实训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花卉生产实训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蔬菜生产实训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果树生产实训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食用菌生产实训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园艺产品加工实训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园艺专业综合实训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农产品新媒体运营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食用菌栽培技术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花卉装饰技术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农业物联网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ind w:firstLine="420" w:firstLineChars="200"/>
        <w:rPr>
          <w:rFonts w:ascii="宋体" w:cs="Times New Roman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</w:rPr>
        <w:t>注：（1）评价方式：①笔试，②面试，③任务考核，④业绩考核</w:t>
      </w:r>
      <w:r>
        <w:rPr>
          <w:rFonts w:hint="eastAsia" w:ascii="宋体" w:cs="Times New Roman"/>
        </w:rPr>
        <w:t>。（2）总学时一般为2500-2700，公共基础课程不低于1/4，专业技术技能课程和学徒岗位能力课程总学时一般应超过50%。（3）总学分不低于120。（4）教学场所、学时分配可根据校企教学安排实际情况描述，比如学生在校内实践基地由企业导师完全对接岗位组织教学，可以计算为企业课时。</w:t>
      </w:r>
    </w:p>
    <w:p>
      <w:pPr>
        <w:pStyle w:val="8"/>
      </w:pPr>
      <w:r>
        <w:rPr>
          <w:rFonts w:hint="eastAsia"/>
        </w:rPr>
        <w:t>（二）工学交替的教学组织进度安排表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对招生招工同步的学生，学生（学徒）在岗学习工作原则上不少于50%；对于先招工后招生的企业在职员工，校企探索创新教学组织实施模式、教学过程管理与工作过程管理相融合,体现工学交替、交互训教。</w:t>
      </w:r>
    </w:p>
    <w:p>
      <w:pPr>
        <w:pStyle w:val="2"/>
        <w:rPr>
          <w:rFonts w:cs="Times New Roman"/>
        </w:rPr>
      </w:pPr>
      <w:bookmarkStart w:id="11" w:name="_Toc106272302"/>
      <w:r>
        <w:rPr>
          <w:rFonts w:hint="eastAsia"/>
        </w:rPr>
        <w:t>十二、教学基本条件</w:t>
      </w:r>
      <w:bookmarkEnd w:id="11"/>
    </w:p>
    <w:p>
      <w:pPr>
        <w:pStyle w:val="8"/>
      </w:pPr>
      <w:r>
        <w:rPr>
          <w:rFonts w:hint="eastAsia"/>
        </w:rPr>
        <w:t>（一）学校条件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sz w:val="30"/>
          <w:szCs w:val="30"/>
        </w:rPr>
        <w:t>．学校导师条件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专业拥有一支专业素质高、教学效果好、技能服务能力强、专兼结合的“双师”结构教学团队，园艺专业教师16人，校级教学名师1人，市优秀教师和教育工作者6人，南粤优秀教师2人，高级职称6人，高级职称占比为 37.5%，“双师型”教师13人，博士研究生1人，博士占比为6.25%，硕士研究生5人。“双师型”教师比例达81.25%。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（1）专任教师应具备园艺或相关专业本科以上（含本科）学历，并接受过职业教育教学方法论的培训。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（2）本专业专任教师“双师”比例应不低于50%。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（3）本专业专任教师应达到园艺技术专业教师专业能力标准的要求。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校内实训室。主要设施设备及数量见下表。</w:t>
      </w:r>
    </w:p>
    <w:tbl>
      <w:tblPr>
        <w:tblStyle w:val="12"/>
        <w:tblW w:w="8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061"/>
        <w:gridCol w:w="756"/>
        <w:gridCol w:w="1722"/>
        <w:gridCol w:w="799"/>
        <w:gridCol w:w="1799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实训室名称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规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模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承担实训项目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基本配置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面积（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</w:rPr>
              <w:t>m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  <w:vertAlign w:val="superscript"/>
              </w:rPr>
              <w:t>2</w:t>
            </w: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主要设备名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+FPEF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数</w:t>
            </w:r>
            <w:r>
              <w:rPr>
                <w:rFonts w:ascii="宋体" w:hAnsi="宋体" w:cs="宋体+FPEF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+FPEF"/>
                <w:b/>
                <w:bCs/>
                <w:color w:val="000000"/>
                <w:kern w:val="0"/>
              </w:rPr>
              <w:t>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+FPEF"/>
                <w:bCs/>
                <w:kern w:val="0"/>
                <w:szCs w:val="21"/>
              </w:rPr>
              <w:t>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食用菌实训基地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食用菌技术栽培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600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自动化装袋机；袋料分离机；装袋机；灵芝孢子粉破壁机；卧式柜形压力蒸汽灭菌器；冷库；超净工作台；型液体菌种机；培养架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+FPEF"/>
                <w:bCs/>
                <w:kern w:val="0"/>
                <w:szCs w:val="21"/>
              </w:rPr>
              <w:t>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组织培养实训室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植物组织培养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300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电子分析天平；电子天平；恒温水浴锅；电泳仪；低速离心机；恒温摇床；电热恒温烘干箱；移液器；光照培养箱；无菌操作台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+FPEF"/>
                <w:bCs/>
                <w:kern w:val="0"/>
                <w:szCs w:val="21"/>
              </w:rPr>
              <w:t>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农业资源与环境实训室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植物病虫害防治</w:t>
            </w:r>
          </w:p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植物生长与环境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紫外分光光度计、光合作用仪、鼓风干燥箱土壤养分、水分速测仪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+FPEF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显微镜实验室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植物病虫害防治</w:t>
            </w:r>
          </w:p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植物生长与环境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单目显微镜；双目显微镜；植物生理制片；植物保护制片；培养皿；镊子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150套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+FPEF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园艺中心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蔬菜栽培技术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花卉栽培技术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植物栽培养护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设施园艺</w:t>
            </w:r>
          </w:p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园艺产品营销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2000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智能化控制系统、加热设备、降温设备、电导率仪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+FPEF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花艺设计实训室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花卉装饰技术</w:t>
            </w:r>
          </w:p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盆景制作与养护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花车、过塑机、微波炉、微波压花器、各类花器、剑山、花篮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+FPEF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龙眼园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片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果树栽培技术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喷药机、剪草机、绿篱剪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+FPEF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一批</w:t>
            </w:r>
          </w:p>
        </w:tc>
      </w:tr>
    </w:tbl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</w:p>
    <w:p>
      <w:pPr>
        <w:pStyle w:val="8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（二）企业条件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．企业导师条件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企业兼职教师应聘请生产一线，并能胜任专业实践教学的技术和管理骨干，一般应具有大学本科以上（含本科）学历，企业兼职教师主要承担实践和实训教学。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岗位培养条件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配套温馨舒适的工作场地，有安全保障的宿舍环境，集体授课的中型会议室，干净卫生的员工餐厅。</w:t>
      </w:r>
    </w:p>
    <w:p>
      <w:pPr>
        <w:pStyle w:val="2"/>
        <w:rPr>
          <w:rFonts w:cs="Times New Roman"/>
        </w:rPr>
      </w:pPr>
      <w:bookmarkStart w:id="12" w:name="_Toc106272303"/>
      <w:r>
        <w:rPr>
          <w:rFonts w:hint="eastAsia"/>
        </w:rPr>
        <w:t>十三、教学实施建议</w:t>
      </w:r>
      <w:bookmarkEnd w:id="12"/>
    </w:p>
    <w:p>
      <w:pPr>
        <w:pStyle w:val="8"/>
      </w:pPr>
      <w:r>
        <w:rPr>
          <w:rFonts w:hint="eastAsia"/>
        </w:rPr>
        <w:t>（一）教学要求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本专业教学安排坚持学历教育与岗位培训相融合、职业能力与职业素质兼顾，学生可选择生产方向、技术方向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、管理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方向</w:t>
      </w:r>
      <w:r>
        <w:rPr>
          <w:rFonts w:hint="eastAsia" w:ascii="仿宋" w:hAnsi="仿宋" w:eastAsia="仿宋" w:cs="宋体"/>
          <w:sz w:val="30"/>
          <w:szCs w:val="30"/>
        </w:rPr>
        <w:t>有针对性的培养。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1、理论学习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坚持“做学教一体”的行动导向教学模式，围绕“资讯</w:t>
      </w:r>
      <w:r>
        <w:rPr>
          <w:rFonts w:ascii="仿宋" w:hAnsi="仿宋" w:eastAsia="仿宋" w:cs="宋体"/>
          <w:sz w:val="30"/>
          <w:szCs w:val="30"/>
        </w:rPr>
        <w:t>-决策-计划-实施-检查-评估”的行动导向教学过程。通过项目教学、模拟教学等多种教学方法，组织学生独立学习或组成小组进行合作学习。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2、实践学习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强化实践教学，根据专业教学的需要，在不同的时间段安排学生开展专业课程的工学结合教学组织形式，全面提高学生实际操作能力和水平。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3、其他学习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在开展专业实践教学的同时，鼓励学生参加第二课堂活动，引导学生积极参加专业技能竞赛、社会调研和社会服务等各项社会实践活动，努力促进学生职业能力、职业意识和社会责任心的综合发展。</w:t>
      </w:r>
    </w:p>
    <w:p>
      <w:pPr>
        <w:pStyle w:val="8"/>
      </w:pPr>
      <w:r>
        <w:rPr>
          <w:rFonts w:hint="eastAsia"/>
        </w:rPr>
        <w:t>（二）教学组织形式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教学组织形式主要有三种，分别为线下集中教学、线上网络教学和技能竞赛作品，其中线下集中教学又分为在校开展学习和在企业开展学习，在校开展学习以理论教学为主，在企业开展教学则以岗位学徒为主。</w:t>
      </w:r>
    </w:p>
    <w:p>
      <w:pPr>
        <w:pStyle w:val="8"/>
      </w:pPr>
      <w:r>
        <w:rPr>
          <w:rFonts w:hint="eastAsia"/>
        </w:rPr>
        <w:t>（三）学业评价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评价体现评价主体、评价方式、评价过程的多元化。教学评价的对象应包括学生知识的掌握、实践操作能力、学习态度和基本职业素质等方面，突出能力的考核评价方式，体现综合素质的评价。企业技能成绩采用校内专业教师评价、校外兼职教师评价、实习单位鉴定三项评价相结合的方式，对学生的专业技能、工作态度、工作纪律等方面进行全面评价。</w:t>
      </w:r>
    </w:p>
    <w:p>
      <w:pPr>
        <w:pStyle w:val="8"/>
      </w:pPr>
      <w:r>
        <w:rPr>
          <w:rFonts w:hint="eastAsia"/>
        </w:rPr>
        <w:t>（四）教学管理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依据专业学校的机构设置和本地经济发展，制定和完善专业人才培养方案，制定和完善专业课程标准。建立健全教学常规管理措施，针对不同生源特点实施差异化的教学管理，推进专业全面教学质量管理，注意本专业毕业生跟踪管理。</w:t>
      </w:r>
    </w:p>
    <w:p>
      <w:pPr>
        <w:pStyle w:val="8"/>
      </w:pPr>
      <w:r>
        <w:rPr>
          <w:rFonts w:hint="eastAsia"/>
        </w:rPr>
        <w:t>（五）质量监控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细化教学监控体系。通过教学考核、专题教学检查、随堂听课、发放调查问卷、设立教学意见箱、召开师生座谈会等形式，了解教学计划与教学任务落实、教师教学、学生学习、教学保障等情况，实现对教学管理工作多层面监控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加强教学质量管理。健全教学质量管理制度、标准及评价办法，要求二级学院制定年度本科教学工作考核指标体系及实施办法、为教学良性发展提供科学指导。在学校信息公开网公开教学质量信息，接受社会公众监督与评价。</w:t>
      </w:r>
    </w:p>
    <w:p>
      <w:pPr>
        <w:pStyle w:val="2"/>
      </w:pPr>
      <w:bookmarkStart w:id="13" w:name="_Toc106272304"/>
      <w:r>
        <w:rPr>
          <w:rFonts w:hint="eastAsia"/>
        </w:rPr>
        <w:t>十四、毕业要求</w:t>
      </w:r>
      <w:bookmarkEnd w:id="13"/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（一）必修课程的成绩全部合格，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修满</w:t>
      </w:r>
      <w:r>
        <w:rPr>
          <w:rFonts w:hint="eastAsia" w:ascii="仿宋" w:hAnsi="仿宋" w:eastAsia="仿宋" w:cs="宋体"/>
          <w:sz w:val="30"/>
          <w:szCs w:val="30"/>
          <w:highlight w:val="none"/>
          <w:lang w:val="en-US" w:eastAsia="zh-CN"/>
        </w:rPr>
        <w:t>135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学分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（二）完成毕业设计并成绩合格。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（三）综合素质测评合格。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（四）推荐考取职业技能等级证书。</w:t>
      </w:r>
    </w:p>
    <w:p>
      <w:pPr>
        <w:ind w:firstLine="600" w:firstLineChars="200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1.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设施蔬菜生产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2.花卉园艺工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宋体"/>
          <w:sz w:val="30"/>
          <w:szCs w:val="30"/>
        </w:rPr>
        <w:t>菌类园艺工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宋体"/>
          <w:sz w:val="30"/>
          <w:szCs w:val="30"/>
        </w:rPr>
        <w:t>蔬菜园艺工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宋体"/>
          <w:sz w:val="30"/>
          <w:szCs w:val="30"/>
        </w:rPr>
        <w:t>肥料配方师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宋体"/>
          <w:sz w:val="30"/>
          <w:szCs w:val="30"/>
        </w:rPr>
        <w:t>农作物植保员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宋体"/>
          <w:sz w:val="30"/>
          <w:szCs w:val="30"/>
        </w:rPr>
        <w:t>高等学校英语应用能力考试AB级英语证书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宋体"/>
          <w:sz w:val="30"/>
          <w:szCs w:val="30"/>
        </w:rPr>
        <w:t>全国计算机等级证书二级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2"/>
      </w:pPr>
      <w:bookmarkStart w:id="14" w:name="_Toc106272305"/>
      <w:r>
        <w:rPr>
          <w:rFonts w:hint="eastAsia"/>
        </w:rPr>
        <w:t>十五、</w:t>
      </w:r>
      <w:bookmarkEnd w:id="14"/>
      <w:r>
        <w:rPr>
          <w:rFonts w:hint="eastAsia"/>
        </w:rPr>
        <w:t>其他</w:t>
      </w: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附录：制订团队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（一）行业企业团队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849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周单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农业科技创新专家/总经理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邓列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国家二级研究员/首席科学家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王兴林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副教授/总农艺师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于翔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农业科学家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利峰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深圳市天天学农网络科技有限公司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科技特派员/农技师/课研负责人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魏明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科技特派员/副总经理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刘立柱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中级农艺工/检测中心负责人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邱清云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科技特派员/区域经理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王本威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深圳市五谷网络科技有限公司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科技特派员/农技顾问</w:t>
            </w:r>
          </w:p>
        </w:tc>
      </w:tr>
    </w:tbl>
    <w:p>
      <w:pPr>
        <w:rPr>
          <w:rFonts w:ascii="宋体" w:cs="Times New Roman"/>
          <w:kern w:val="0"/>
          <w:sz w:val="24"/>
          <w:szCs w:val="24"/>
          <w:lang w:val="zh-C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（二）学校教师团队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799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阮凌暄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惠州工程职业学院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副教授/生态工程系副主任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杨丽华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惠州工程职业学院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讲师/双学科带头人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ascii="仿宋" w:hAnsi="仿宋" w:eastAsia="仿宋" w:cs="宋体"/>
          <w:b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sz w:val="30"/>
          <w:szCs w:val="30"/>
        </w:rPr>
        <w:t>：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园艺技术</w:t>
      </w:r>
      <w:r>
        <w:rPr>
          <w:rFonts w:hint="eastAsia" w:ascii="仿宋" w:hAnsi="仿宋" w:eastAsia="仿宋" w:cs="宋体"/>
          <w:b/>
          <w:sz w:val="30"/>
          <w:szCs w:val="30"/>
        </w:rPr>
        <w:t>专业职业能力分析表</w:t>
      </w:r>
    </w:p>
    <w:tbl>
      <w:tblPr>
        <w:tblStyle w:val="13"/>
        <w:tblpPr w:leftFromText="180" w:rightFromText="180" w:vertAnchor="text" w:horzAnchor="page" w:tblpX="580" w:tblpY="617"/>
        <w:tblOverlap w:val="never"/>
        <w:tblW w:w="10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08"/>
        <w:gridCol w:w="1790"/>
        <w:gridCol w:w="505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职业岗位</w:t>
            </w:r>
          </w:p>
        </w:tc>
        <w:tc>
          <w:tcPr>
            <w:tcW w:w="17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典型工作任务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职业能力要求</w:t>
            </w:r>
          </w:p>
        </w:tc>
        <w:tc>
          <w:tcPr>
            <w:tcW w:w="10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园艺植物生产管理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果树生产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具有识别常见果树品种、对果树苗圃地进行选择规划的能力；具有无公害绿色果品生产、认证的能力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能进行常见果树育苗、土肥水管理、整形修剪、花果管理。能识别常见果树品种病虫害，并对常见果树病虫害进行综合防治。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能初步进行蔬菜采收、贮藏保鲜与加工。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蔬菜生产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具有识别常见蔬菜品种和病虫害的能力；具有有机蔬菜的生产、认证的能力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会进行蔬菜育苗、土肥水管理，植株调整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能初步进行蔬菜采收、贮藏保鲜与加工。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花卉生产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具有识别常见花卉品种、病虫害的能力；会进行花卉育苗、土肥水管理、盆栽管理、花期调控；能对常见花卉病虫害进行综合防治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能独立完成简易插花和盆栽作品；能初步进行鲜切花栽培管理、采收、采后处理和保鲜技术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会利用花卉进行花艺创作，装饰室内、外环境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食用菌生产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会进行食用菌菌种保藏、菌种生产、栽培、病虫害防治；具有菌渣无公害化处理和资源化利用的能力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具有应用现代技术进行食用菌菇棒生产及栽培管理的能力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具有开展食用菌产品的保藏、粗加工及精加工的能力。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园艺植物繁育与养护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园艺植物种苗繁育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掌握植物及品种的识别能力，掌握水果、蔬菜、花卉、食用菌、经济作物等的种苗繁育能力、种质资源的收集保存鉴别能力。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掌握花卉苗木和蔬菜快速繁殖与脱毒能力；田间试验设计及试验结果统计分析能力。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能应用现代园艺设施的先进技术，开展园艺植物种苗生产。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园艺植物保护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掌握园艺植物的水土肥管理能力，园艺植物的植株管理能力，园艺植物的病虫害防治能力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具有应用害虫的防治原理与方法，制订病虫害防治方案，进行园艺植物常见病虫害防治的能力。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掌握各种园艺设施的正确使用方法，能应用园艺设施建造的技术原理与方法，会建造简易园艺设施，进行环境的有效调控。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2-2-3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园艺技术服务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园艺产品标准化生产技术推广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了解园艺植物的种苗繁育、标准化生产技术等方面的相关知识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能够对园艺植物新品种进行示范及推广；能够对园艺产品标准化生产技术进行推广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掌握消费心理学、行为科学、传播学的基础知识及在园艺产品营销的应用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农业技术服务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了解园艺植物的生长、栽培、水肥、病虫害防治等方面的相关知识。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能够对农业技术信息进行采集、分类和处理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能够进行常见园艺植物的技术指导、技术咨询与技术培训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园艺产品与农资营销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园艺产品营销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熟悉园艺植物的生产、养护、病虫害防治、栽培管理等方面的相关知识。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掌握消费心理学、行为科学、传播学的基础知识及在园艺产品营销的应用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能制定园艺产品营销合同，能正确选择营销策略和制定产品营销计划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农资营销</w:t>
            </w: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了解农资（种子、肥料、农药、苗木等）及农资市场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掌握一定的产品营销知识，能进行消费需求分析和市场调研及预测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能够根据调研结果，正确选择营销策略制定农资产品推广营销方案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4-2-3</w:t>
            </w:r>
          </w:p>
        </w:tc>
      </w:tr>
    </w:tbl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31766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0ED4F"/>
    <w:multiLevelType w:val="singleLevel"/>
    <w:tmpl w:val="6830ED4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mE3NzM5ZjFlMGQ5MmFhZTJjMDdhOTUyNzZhNzUifQ=="/>
  </w:docVars>
  <w:rsids>
    <w:rsidRoot w:val="00CC10E1"/>
    <w:rsid w:val="000060AB"/>
    <w:rsid w:val="00024A4F"/>
    <w:rsid w:val="0003185D"/>
    <w:rsid w:val="00056AE8"/>
    <w:rsid w:val="00064AE6"/>
    <w:rsid w:val="00077F71"/>
    <w:rsid w:val="00082EF3"/>
    <w:rsid w:val="00092050"/>
    <w:rsid w:val="000D0EC3"/>
    <w:rsid w:val="000D3DDA"/>
    <w:rsid w:val="000D5F55"/>
    <w:rsid w:val="000E7FB1"/>
    <w:rsid w:val="001051B1"/>
    <w:rsid w:val="001062CD"/>
    <w:rsid w:val="00165B72"/>
    <w:rsid w:val="001727C8"/>
    <w:rsid w:val="00181224"/>
    <w:rsid w:val="001A209A"/>
    <w:rsid w:val="001A312B"/>
    <w:rsid w:val="001A36F7"/>
    <w:rsid w:val="001B48B6"/>
    <w:rsid w:val="001D2A3A"/>
    <w:rsid w:val="00245CA0"/>
    <w:rsid w:val="00251FAD"/>
    <w:rsid w:val="00265CA5"/>
    <w:rsid w:val="00274068"/>
    <w:rsid w:val="00277F70"/>
    <w:rsid w:val="00282B02"/>
    <w:rsid w:val="00290799"/>
    <w:rsid w:val="002C24CE"/>
    <w:rsid w:val="002F2328"/>
    <w:rsid w:val="00301930"/>
    <w:rsid w:val="00323284"/>
    <w:rsid w:val="003449F1"/>
    <w:rsid w:val="003A568B"/>
    <w:rsid w:val="003B24C8"/>
    <w:rsid w:val="003D003B"/>
    <w:rsid w:val="003F0B91"/>
    <w:rsid w:val="0042714A"/>
    <w:rsid w:val="0043283B"/>
    <w:rsid w:val="00450EED"/>
    <w:rsid w:val="0046486B"/>
    <w:rsid w:val="004E104A"/>
    <w:rsid w:val="00523674"/>
    <w:rsid w:val="005449A2"/>
    <w:rsid w:val="00546902"/>
    <w:rsid w:val="00547E9C"/>
    <w:rsid w:val="00566098"/>
    <w:rsid w:val="00586D9F"/>
    <w:rsid w:val="005C3909"/>
    <w:rsid w:val="005D5F86"/>
    <w:rsid w:val="005E69F4"/>
    <w:rsid w:val="00601736"/>
    <w:rsid w:val="006039C2"/>
    <w:rsid w:val="00606CE2"/>
    <w:rsid w:val="0063229A"/>
    <w:rsid w:val="006324D3"/>
    <w:rsid w:val="006505F1"/>
    <w:rsid w:val="00661266"/>
    <w:rsid w:val="00677901"/>
    <w:rsid w:val="006811B1"/>
    <w:rsid w:val="006965DE"/>
    <w:rsid w:val="006B2B75"/>
    <w:rsid w:val="006C5DAF"/>
    <w:rsid w:val="006D189A"/>
    <w:rsid w:val="006D42D8"/>
    <w:rsid w:val="006F67F8"/>
    <w:rsid w:val="00716C87"/>
    <w:rsid w:val="00721284"/>
    <w:rsid w:val="00750E4A"/>
    <w:rsid w:val="007670E3"/>
    <w:rsid w:val="00770A78"/>
    <w:rsid w:val="00782274"/>
    <w:rsid w:val="007A4029"/>
    <w:rsid w:val="007A45E3"/>
    <w:rsid w:val="007B6E69"/>
    <w:rsid w:val="007E4E52"/>
    <w:rsid w:val="007F09EA"/>
    <w:rsid w:val="00805571"/>
    <w:rsid w:val="00817FD2"/>
    <w:rsid w:val="00874BEC"/>
    <w:rsid w:val="008A4F8F"/>
    <w:rsid w:val="008C0D5B"/>
    <w:rsid w:val="008E4D9A"/>
    <w:rsid w:val="0090066F"/>
    <w:rsid w:val="00915713"/>
    <w:rsid w:val="00924844"/>
    <w:rsid w:val="009300E2"/>
    <w:rsid w:val="00940FF3"/>
    <w:rsid w:val="00956469"/>
    <w:rsid w:val="00957D63"/>
    <w:rsid w:val="00997702"/>
    <w:rsid w:val="009A119D"/>
    <w:rsid w:val="009B6CB3"/>
    <w:rsid w:val="009C65E2"/>
    <w:rsid w:val="00A42016"/>
    <w:rsid w:val="00A76886"/>
    <w:rsid w:val="00AD5229"/>
    <w:rsid w:val="00AE20D9"/>
    <w:rsid w:val="00B139BD"/>
    <w:rsid w:val="00B47A15"/>
    <w:rsid w:val="00B539F2"/>
    <w:rsid w:val="00B677CF"/>
    <w:rsid w:val="00B73F69"/>
    <w:rsid w:val="00B76FC3"/>
    <w:rsid w:val="00B872DB"/>
    <w:rsid w:val="00B927A8"/>
    <w:rsid w:val="00B95702"/>
    <w:rsid w:val="00B9699F"/>
    <w:rsid w:val="00B97C14"/>
    <w:rsid w:val="00BA0904"/>
    <w:rsid w:val="00BB1FF8"/>
    <w:rsid w:val="00BD74E5"/>
    <w:rsid w:val="00BE7185"/>
    <w:rsid w:val="00BF021D"/>
    <w:rsid w:val="00C016C6"/>
    <w:rsid w:val="00C12EBB"/>
    <w:rsid w:val="00C2288E"/>
    <w:rsid w:val="00C239A8"/>
    <w:rsid w:val="00C36091"/>
    <w:rsid w:val="00C3696B"/>
    <w:rsid w:val="00C44D12"/>
    <w:rsid w:val="00C5471C"/>
    <w:rsid w:val="00C57706"/>
    <w:rsid w:val="00C60773"/>
    <w:rsid w:val="00C6117B"/>
    <w:rsid w:val="00C85C4E"/>
    <w:rsid w:val="00C9221F"/>
    <w:rsid w:val="00CC10E1"/>
    <w:rsid w:val="00CD2CF6"/>
    <w:rsid w:val="00CD3C1F"/>
    <w:rsid w:val="00CD5FC5"/>
    <w:rsid w:val="00D1019D"/>
    <w:rsid w:val="00D370CF"/>
    <w:rsid w:val="00D466B2"/>
    <w:rsid w:val="00D607CD"/>
    <w:rsid w:val="00D65B5E"/>
    <w:rsid w:val="00D73FD3"/>
    <w:rsid w:val="00DA7956"/>
    <w:rsid w:val="00DB0110"/>
    <w:rsid w:val="00DE234C"/>
    <w:rsid w:val="00DF4178"/>
    <w:rsid w:val="00E1407F"/>
    <w:rsid w:val="00E14DDD"/>
    <w:rsid w:val="00E46C41"/>
    <w:rsid w:val="00E528AB"/>
    <w:rsid w:val="00E64C63"/>
    <w:rsid w:val="00E9596B"/>
    <w:rsid w:val="00ED1C50"/>
    <w:rsid w:val="00F269AE"/>
    <w:rsid w:val="00F4668A"/>
    <w:rsid w:val="00F479DD"/>
    <w:rsid w:val="00F60237"/>
    <w:rsid w:val="00F7099E"/>
    <w:rsid w:val="00FB75F1"/>
    <w:rsid w:val="00FC7232"/>
    <w:rsid w:val="00FD4F71"/>
    <w:rsid w:val="00FE56C8"/>
    <w:rsid w:val="00FF7109"/>
    <w:rsid w:val="01E3166E"/>
    <w:rsid w:val="021755D8"/>
    <w:rsid w:val="037C0A7D"/>
    <w:rsid w:val="038E2690"/>
    <w:rsid w:val="03D252FD"/>
    <w:rsid w:val="040A0E6E"/>
    <w:rsid w:val="04533F71"/>
    <w:rsid w:val="056E0BFB"/>
    <w:rsid w:val="06115271"/>
    <w:rsid w:val="06BE5839"/>
    <w:rsid w:val="070965ED"/>
    <w:rsid w:val="08FF00E7"/>
    <w:rsid w:val="0AD100C7"/>
    <w:rsid w:val="0C364A79"/>
    <w:rsid w:val="0C896A04"/>
    <w:rsid w:val="0CC642D3"/>
    <w:rsid w:val="0D800455"/>
    <w:rsid w:val="0DBC7B58"/>
    <w:rsid w:val="0E9E3C5C"/>
    <w:rsid w:val="0F1A64A4"/>
    <w:rsid w:val="0F5D3665"/>
    <w:rsid w:val="10C009C2"/>
    <w:rsid w:val="11A45200"/>
    <w:rsid w:val="12DF6A7E"/>
    <w:rsid w:val="14B762E2"/>
    <w:rsid w:val="15155054"/>
    <w:rsid w:val="15B8481B"/>
    <w:rsid w:val="166D4049"/>
    <w:rsid w:val="183C07FB"/>
    <w:rsid w:val="189F3152"/>
    <w:rsid w:val="18C965C0"/>
    <w:rsid w:val="18D70712"/>
    <w:rsid w:val="19037FE5"/>
    <w:rsid w:val="19467ED2"/>
    <w:rsid w:val="195B54CB"/>
    <w:rsid w:val="1A9A6D77"/>
    <w:rsid w:val="1B481CDF"/>
    <w:rsid w:val="1D526E45"/>
    <w:rsid w:val="1DB358BC"/>
    <w:rsid w:val="1F6A3E3B"/>
    <w:rsid w:val="1FA45EDD"/>
    <w:rsid w:val="1FAD4172"/>
    <w:rsid w:val="1FC23AE2"/>
    <w:rsid w:val="203D2691"/>
    <w:rsid w:val="20FF48DA"/>
    <w:rsid w:val="2110376E"/>
    <w:rsid w:val="21C649BB"/>
    <w:rsid w:val="23296EE1"/>
    <w:rsid w:val="23B129E7"/>
    <w:rsid w:val="247C4A71"/>
    <w:rsid w:val="24E10366"/>
    <w:rsid w:val="256C2A6E"/>
    <w:rsid w:val="265E2D0D"/>
    <w:rsid w:val="27161E0A"/>
    <w:rsid w:val="281D44F4"/>
    <w:rsid w:val="29892E9C"/>
    <w:rsid w:val="29AA0009"/>
    <w:rsid w:val="29D5234D"/>
    <w:rsid w:val="29E5333E"/>
    <w:rsid w:val="29E81B9C"/>
    <w:rsid w:val="2AD852FA"/>
    <w:rsid w:val="2AF20717"/>
    <w:rsid w:val="2B5408B4"/>
    <w:rsid w:val="2B885A81"/>
    <w:rsid w:val="2C01024B"/>
    <w:rsid w:val="2C125DA5"/>
    <w:rsid w:val="2C30040F"/>
    <w:rsid w:val="2CC34063"/>
    <w:rsid w:val="2CF375D3"/>
    <w:rsid w:val="2E737F60"/>
    <w:rsid w:val="2EBF0E62"/>
    <w:rsid w:val="2EF9691B"/>
    <w:rsid w:val="2F3F04BA"/>
    <w:rsid w:val="348025C6"/>
    <w:rsid w:val="34C411E9"/>
    <w:rsid w:val="34F60575"/>
    <w:rsid w:val="353D7804"/>
    <w:rsid w:val="35C0067C"/>
    <w:rsid w:val="36FC40EF"/>
    <w:rsid w:val="37040867"/>
    <w:rsid w:val="37971BCD"/>
    <w:rsid w:val="38A20C61"/>
    <w:rsid w:val="3922425B"/>
    <w:rsid w:val="3A454A2D"/>
    <w:rsid w:val="3A944280"/>
    <w:rsid w:val="3AAB6006"/>
    <w:rsid w:val="3D1771C8"/>
    <w:rsid w:val="3D6F4D07"/>
    <w:rsid w:val="3E344EC5"/>
    <w:rsid w:val="3FBD4990"/>
    <w:rsid w:val="4186198B"/>
    <w:rsid w:val="41B4034D"/>
    <w:rsid w:val="426255A1"/>
    <w:rsid w:val="42C1377E"/>
    <w:rsid w:val="43CD66F2"/>
    <w:rsid w:val="459D3780"/>
    <w:rsid w:val="45D57CCA"/>
    <w:rsid w:val="47384A2E"/>
    <w:rsid w:val="48073570"/>
    <w:rsid w:val="48396FE6"/>
    <w:rsid w:val="49416141"/>
    <w:rsid w:val="497A374E"/>
    <w:rsid w:val="49D34A09"/>
    <w:rsid w:val="4B3D65BF"/>
    <w:rsid w:val="4BBC4527"/>
    <w:rsid w:val="4C2018F0"/>
    <w:rsid w:val="4C6A7458"/>
    <w:rsid w:val="4C715C9A"/>
    <w:rsid w:val="4F5A72FE"/>
    <w:rsid w:val="4FC60842"/>
    <w:rsid w:val="50CD5318"/>
    <w:rsid w:val="51EB4E5C"/>
    <w:rsid w:val="54624EB9"/>
    <w:rsid w:val="560B00D0"/>
    <w:rsid w:val="5669226E"/>
    <w:rsid w:val="572E2365"/>
    <w:rsid w:val="5776281F"/>
    <w:rsid w:val="5788484D"/>
    <w:rsid w:val="57C65F86"/>
    <w:rsid w:val="5813404D"/>
    <w:rsid w:val="58262DCD"/>
    <w:rsid w:val="58F80DF7"/>
    <w:rsid w:val="5A0C3073"/>
    <w:rsid w:val="5A3314F1"/>
    <w:rsid w:val="5B916462"/>
    <w:rsid w:val="5C29661F"/>
    <w:rsid w:val="5C564620"/>
    <w:rsid w:val="5CD45F0D"/>
    <w:rsid w:val="5CEC1716"/>
    <w:rsid w:val="5D40582C"/>
    <w:rsid w:val="5E4C14D1"/>
    <w:rsid w:val="5F42507A"/>
    <w:rsid w:val="5F5E7666"/>
    <w:rsid w:val="5F827DA3"/>
    <w:rsid w:val="5FA04762"/>
    <w:rsid w:val="60124E02"/>
    <w:rsid w:val="621E4643"/>
    <w:rsid w:val="62C70330"/>
    <w:rsid w:val="63F13A1F"/>
    <w:rsid w:val="659A314D"/>
    <w:rsid w:val="65A433EB"/>
    <w:rsid w:val="66142D83"/>
    <w:rsid w:val="686A7255"/>
    <w:rsid w:val="68BD77C4"/>
    <w:rsid w:val="69015DDF"/>
    <w:rsid w:val="690219A2"/>
    <w:rsid w:val="6A4B0D46"/>
    <w:rsid w:val="6C0E5593"/>
    <w:rsid w:val="6D180EE3"/>
    <w:rsid w:val="6DD53A5A"/>
    <w:rsid w:val="6E553CDF"/>
    <w:rsid w:val="6EE92E7A"/>
    <w:rsid w:val="6F11762D"/>
    <w:rsid w:val="6FFD5303"/>
    <w:rsid w:val="702F759F"/>
    <w:rsid w:val="723F3F6C"/>
    <w:rsid w:val="72F8515F"/>
    <w:rsid w:val="73ED1905"/>
    <w:rsid w:val="755D7AAE"/>
    <w:rsid w:val="75C77C3E"/>
    <w:rsid w:val="77762947"/>
    <w:rsid w:val="77981B3E"/>
    <w:rsid w:val="789E47AB"/>
    <w:rsid w:val="78CB541D"/>
    <w:rsid w:val="7A196555"/>
    <w:rsid w:val="7A9F774F"/>
    <w:rsid w:val="7B8458FC"/>
    <w:rsid w:val="7C0F66AA"/>
    <w:rsid w:val="7C137A0D"/>
    <w:rsid w:val="7DC20F3C"/>
    <w:rsid w:val="7E245731"/>
    <w:rsid w:val="7E624A43"/>
    <w:rsid w:val="7FA42539"/>
    <w:rsid w:val="7FD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0"/>
    <w:pPr>
      <w:spacing w:line="360" w:lineRule="auto"/>
      <w:ind w:firstLine="640" w:firstLineChars="200"/>
      <w:outlineLvl w:val="0"/>
    </w:pPr>
    <w:rPr>
      <w:rFonts w:ascii="黑体" w:hAnsi="黑体" w:eastAsia="黑体" w:cs="宋体"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locked/>
    <w:uiPriority w:val="39"/>
    <w:rPr>
      <w:sz w:val="32"/>
    </w:rPr>
  </w:style>
  <w:style w:type="paragraph" w:styleId="8">
    <w:name w:val="Subtitle"/>
    <w:basedOn w:val="1"/>
    <w:next w:val="1"/>
    <w:link w:val="28"/>
    <w:qFormat/>
    <w:locked/>
    <w:uiPriority w:val="0"/>
    <w:pPr>
      <w:ind w:firstLine="602" w:firstLineChars="200"/>
    </w:pPr>
    <w:rPr>
      <w:rFonts w:ascii="仿宋" w:hAnsi="仿宋" w:eastAsia="仿宋"/>
      <w:b/>
      <w:sz w:val="30"/>
      <w:szCs w:val="30"/>
    </w:rPr>
  </w:style>
  <w:style w:type="paragraph" w:styleId="9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1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Char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link w:val="11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页脚 Char1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批注框文本 Char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customStyle="1" w:styleId="24">
    <w:name w:val="网格型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列表段落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26">
    <w:name w:val="标题 1 Char"/>
    <w:basedOn w:val="14"/>
    <w:link w:val="2"/>
    <w:qFormat/>
    <w:uiPriority w:val="0"/>
    <w:rPr>
      <w:rFonts w:ascii="黑体" w:hAnsi="黑体" w:eastAsia="黑体" w:cs="宋体"/>
      <w:bCs/>
      <w:kern w:val="2"/>
      <w:sz w:val="32"/>
      <w:szCs w:val="32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副标题 Char"/>
    <w:basedOn w:val="14"/>
    <w:link w:val="8"/>
    <w:qFormat/>
    <w:uiPriority w:val="0"/>
    <w:rPr>
      <w:rFonts w:ascii="仿宋" w:hAnsi="仿宋" w:eastAsia="仿宋" w:cs="Calibri"/>
      <w:b/>
      <w:kern w:val="2"/>
      <w:sz w:val="30"/>
      <w:szCs w:val="30"/>
    </w:rPr>
  </w:style>
  <w:style w:type="character" w:customStyle="1" w:styleId="29">
    <w:name w:val="页脚 Char"/>
    <w:basedOn w:val="14"/>
    <w:qFormat/>
    <w:uiPriority w:val="99"/>
    <w:rPr>
      <w:rFonts w:eastAsiaTheme="minorHAnsi"/>
      <w:sz w:val="21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350-E91E-4C4C-94ED-555CC2C03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25</Pages>
  <Words>10035</Words>
  <Characters>10490</Characters>
  <Lines>60</Lines>
  <Paragraphs>17</Paragraphs>
  <TotalTime>0</TotalTime>
  <ScaleCrop>false</ScaleCrop>
  <LinksUpToDate>false</LinksUpToDate>
  <CharactersWithSpaces>10808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2022-06-16T03:01:00Z</dcterms:created>
  <dc:creator>Sky123.Org</dc:creator>
  <cp:lastModifiedBy>Y_Y_M</cp:lastModifiedBy>
  <dcterms:modified xsi:type="dcterms:W3CDTF">2022-12-07T16:14:03Z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2DECF6F39A04482093D41D2D0BB6E761</vt:lpwstr>
  </property>
</Properties>
</file>