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附件1</w:t>
      </w:r>
    </w:p>
    <w:p>
      <w:pPr>
        <w:rPr>
          <w:rFonts w:ascii="黑体" w:hAnsi="黑体" w:eastAsia="黑体"/>
          <w:sz w:val="44"/>
          <w:szCs w:val="44"/>
        </w:rPr>
      </w:pPr>
    </w:p>
    <w:p>
      <w:pPr>
        <w:spacing w:after="120"/>
        <w:ind w:firstLine="880"/>
        <w:jc w:val="center"/>
        <w:rPr>
          <w:rFonts w:ascii="黑体" w:hAnsi="黑体" w:eastAsia="黑体"/>
          <w:sz w:val="44"/>
          <w:szCs w:val="44"/>
        </w:rPr>
      </w:pPr>
    </w:p>
    <w:p>
      <w:pPr>
        <w:autoSpaceDE w:val="0"/>
        <w:snapToGrid w:val="0"/>
        <w:spacing w:line="560" w:lineRule="exact"/>
        <w:jc w:val="center"/>
        <w:rPr>
          <w:rFonts w:ascii="方正小标宋_GBK" w:hAnsi="方正小标宋_GBK" w:eastAsia="方正小标宋_GBK" w:cs="宋体"/>
          <w:sz w:val="44"/>
          <w:szCs w:val="44"/>
        </w:rPr>
      </w:pPr>
      <w:r>
        <w:rPr>
          <w:rFonts w:hint="eastAsia" w:ascii="方正小标宋_GBK" w:hAnsi="方正小标宋_GBK" w:eastAsia="方正小标宋_GBK" w:cs="宋体"/>
          <w:sz w:val="44"/>
          <w:szCs w:val="44"/>
        </w:rPr>
        <w:t>高等职业教育“创新强校工程”</w:t>
      </w:r>
    </w:p>
    <w:p>
      <w:pPr>
        <w:autoSpaceDE w:val="0"/>
        <w:snapToGrid w:val="0"/>
        <w:spacing w:line="560" w:lineRule="exact"/>
        <w:jc w:val="center"/>
        <w:rPr>
          <w:rFonts w:ascii="方正小标宋_GBK" w:hAnsi="方正小标宋_GBK" w:eastAsia="方正小标宋_GBK" w:cs="宋体"/>
          <w:sz w:val="44"/>
          <w:szCs w:val="44"/>
        </w:rPr>
      </w:pPr>
      <w:r>
        <w:rPr>
          <w:rFonts w:hint="eastAsia" w:ascii="方正小标宋_GBK" w:hAnsi="方正小标宋_GBK" w:eastAsia="方正小标宋_GBK" w:cs="宋体"/>
          <w:sz w:val="44"/>
          <w:szCs w:val="44"/>
        </w:rPr>
        <w:t>（2023—2025年）</w:t>
      </w:r>
    </w:p>
    <w:p>
      <w:pPr>
        <w:spacing w:line="560" w:lineRule="exact"/>
        <w:ind w:firstLine="3080" w:firstLineChars="700"/>
        <w:rPr>
          <w:rFonts w:ascii="宋体" w:hAnsi="宋体" w:eastAsia="宋体" w:cs="宋体"/>
          <w:szCs w:val="21"/>
        </w:rPr>
      </w:pPr>
      <w:r>
        <w:rPr>
          <w:rFonts w:hint="eastAsia" w:ascii="方正小标宋_GBK" w:hAnsi="方正小标宋_GBK" w:eastAsia="方正小标宋_GBK" w:cs="宋体"/>
          <w:sz w:val="44"/>
          <w:szCs w:val="44"/>
        </w:rPr>
        <w:t>建设规划</w:t>
      </w:r>
    </w:p>
    <w:p>
      <w:pPr>
        <w:pStyle w:val="15"/>
      </w:pPr>
    </w:p>
    <w:p>
      <w:pPr>
        <w:pStyle w:val="15"/>
      </w:pPr>
    </w:p>
    <w:p>
      <w:pPr>
        <w:pStyle w:val="15"/>
      </w:pPr>
    </w:p>
    <w:p>
      <w:pPr>
        <w:pStyle w:val="15"/>
      </w:pPr>
    </w:p>
    <w:p>
      <w:pPr>
        <w:pStyle w:val="15"/>
      </w:pPr>
    </w:p>
    <w:p>
      <w:pPr>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学校名称：</w:t>
      </w:r>
      <w:r>
        <w:rPr>
          <w:rFonts w:hint="eastAsia" w:ascii="仿宋" w:hAnsi="仿宋" w:eastAsia="仿宋" w:cs="仿宋"/>
          <w:color w:val="000000"/>
          <w:sz w:val="32"/>
          <w:szCs w:val="32"/>
          <w:u w:val="single"/>
        </w:rPr>
        <w:t xml:space="preserve">      惠州工程职业学院       </w:t>
      </w:r>
    </w:p>
    <w:p>
      <w:pPr>
        <w:ind w:firstLine="640" w:firstLineChars="200"/>
        <w:rPr>
          <w:rFonts w:ascii="仿宋" w:hAnsi="仿宋" w:eastAsia="仿宋" w:cs="仿宋"/>
          <w:color w:val="000000"/>
          <w:sz w:val="32"/>
          <w:szCs w:val="32"/>
          <w:u w:val="single"/>
        </w:rPr>
      </w:pPr>
      <w:r>
        <w:rPr>
          <w:rFonts w:hint="eastAsia" w:ascii="仿宋" w:hAnsi="仿宋" w:eastAsia="仿宋" w:cs="仿宋"/>
          <w:color w:val="000000"/>
          <w:sz w:val="32"/>
          <w:szCs w:val="32"/>
        </w:rPr>
        <w:t>联系部门：</w:t>
      </w:r>
      <w:r>
        <w:rPr>
          <w:rFonts w:hint="eastAsia" w:ascii="仿宋" w:hAnsi="仿宋" w:eastAsia="仿宋" w:cs="仿宋"/>
          <w:color w:val="000000"/>
          <w:sz w:val="32"/>
          <w:szCs w:val="32"/>
          <w:u w:val="single"/>
        </w:rPr>
        <w:t xml:space="preserve">         发展规划处          </w:t>
      </w:r>
    </w:p>
    <w:p>
      <w:pPr>
        <w:ind w:firstLine="640" w:firstLineChars="200"/>
        <w:rPr>
          <w:rFonts w:ascii="仿宋" w:hAnsi="仿宋" w:eastAsia="仿宋" w:cs="仿宋"/>
          <w:color w:val="000000"/>
          <w:sz w:val="32"/>
          <w:szCs w:val="32"/>
          <w:u w:val="single"/>
        </w:rPr>
      </w:pPr>
      <w:r>
        <w:rPr>
          <w:rFonts w:hint="eastAsia" w:ascii="仿宋" w:hAnsi="仿宋" w:eastAsia="仿宋" w:cs="仿宋"/>
          <w:color w:val="000000"/>
          <w:sz w:val="32"/>
          <w:szCs w:val="32"/>
        </w:rPr>
        <w:t>联 系 人：</w:t>
      </w:r>
      <w:r>
        <w:rPr>
          <w:rFonts w:hint="eastAsia" w:ascii="仿宋" w:hAnsi="仿宋" w:eastAsia="仿宋" w:cs="仿宋"/>
          <w:color w:val="000000"/>
          <w:sz w:val="32"/>
          <w:szCs w:val="32"/>
          <w:u w:val="single"/>
        </w:rPr>
        <w:t xml:space="preserve">           王康伟            </w:t>
      </w:r>
    </w:p>
    <w:p>
      <w:pPr>
        <w:ind w:firstLine="640" w:firstLineChars="200"/>
        <w:rPr>
          <w:rFonts w:ascii="仿宋" w:hAnsi="仿宋" w:eastAsia="仿宋" w:cs="仿宋"/>
          <w:color w:val="000000"/>
          <w:sz w:val="32"/>
          <w:szCs w:val="32"/>
          <w:u w:val="single"/>
        </w:rPr>
      </w:pPr>
      <w:r>
        <w:rPr>
          <w:rFonts w:hint="eastAsia" w:ascii="仿宋" w:hAnsi="仿宋" w:eastAsia="仿宋" w:cs="仿宋"/>
          <w:color w:val="000000"/>
          <w:sz w:val="32"/>
          <w:szCs w:val="32"/>
        </w:rPr>
        <w:t>联系电话：</w:t>
      </w:r>
      <w:r>
        <w:rPr>
          <w:rFonts w:hint="eastAsia" w:ascii="仿宋" w:hAnsi="仿宋" w:eastAsia="仿宋" w:cs="仿宋"/>
          <w:color w:val="000000"/>
          <w:sz w:val="32"/>
          <w:szCs w:val="32"/>
          <w:u w:val="single"/>
        </w:rPr>
        <w:t xml:space="preserve">         13437715176         </w:t>
      </w:r>
    </w:p>
    <w:p>
      <w:pPr>
        <w:ind w:firstLine="640" w:firstLineChars="200"/>
        <w:rPr>
          <w:rFonts w:ascii="仿宋" w:hAnsi="仿宋" w:eastAsia="仿宋" w:cs="仿宋"/>
          <w:color w:val="000000"/>
          <w:sz w:val="32"/>
          <w:szCs w:val="32"/>
          <w:u w:val="single"/>
        </w:rPr>
      </w:pPr>
      <w:r>
        <w:rPr>
          <w:rFonts w:hint="eastAsia" w:ascii="仿宋" w:hAnsi="仿宋" w:eastAsia="仿宋" w:cs="仿宋"/>
          <w:color w:val="000000"/>
          <w:sz w:val="32"/>
          <w:szCs w:val="32"/>
        </w:rPr>
        <w:t>编制日期：</w:t>
      </w:r>
      <w:r>
        <w:rPr>
          <w:rFonts w:hint="eastAsia" w:ascii="仿宋" w:hAnsi="仿宋" w:eastAsia="仿宋" w:cs="仿宋"/>
          <w:color w:val="000000"/>
          <w:sz w:val="32"/>
          <w:szCs w:val="32"/>
          <w:u w:val="single"/>
        </w:rPr>
        <w:t xml:space="preserve">         2023年12月         </w:t>
      </w:r>
    </w:p>
    <w:p>
      <w:pPr>
        <w:ind w:firstLine="560" w:firstLineChars="200"/>
        <w:rPr>
          <w:color w:val="000000"/>
          <w:sz w:val="28"/>
          <w:szCs w:val="28"/>
        </w:rPr>
      </w:pPr>
    </w:p>
    <w:p>
      <w:pPr>
        <w:ind w:firstLine="560" w:firstLineChars="200"/>
        <w:rPr>
          <w:color w:val="000000"/>
          <w:sz w:val="28"/>
          <w:szCs w:val="28"/>
        </w:rPr>
      </w:pPr>
    </w:p>
    <w:p>
      <w:pPr>
        <w:ind w:firstLine="560" w:firstLineChars="200"/>
        <w:rPr>
          <w:color w:val="000000"/>
          <w:sz w:val="28"/>
          <w:szCs w:val="28"/>
        </w:rPr>
      </w:pPr>
    </w:p>
    <w:p>
      <w:pPr>
        <w:ind w:firstLine="560" w:firstLineChars="200"/>
        <w:rPr>
          <w:color w:val="000000"/>
          <w:sz w:val="28"/>
          <w:szCs w:val="28"/>
        </w:rPr>
      </w:pPr>
    </w:p>
    <w:p>
      <w:pPr>
        <w:ind w:firstLine="560" w:firstLineChars="200"/>
        <w:rPr>
          <w:color w:val="000000"/>
          <w:sz w:val="28"/>
          <w:szCs w:val="28"/>
        </w:rPr>
      </w:pPr>
    </w:p>
    <w:p>
      <w:pPr>
        <w:jc w:val="center"/>
        <w:rPr>
          <w:rFonts w:ascii="仿宋" w:hAnsi="仿宋" w:eastAsia="仿宋" w:cs="仿宋"/>
          <w:sz w:val="32"/>
          <w:szCs w:val="32"/>
        </w:rPr>
      </w:pPr>
      <w:r>
        <w:rPr>
          <w:rFonts w:hint="eastAsia" w:ascii="仿宋" w:hAnsi="仿宋" w:eastAsia="仿宋" w:cs="仿宋"/>
          <w:color w:val="000000"/>
          <w:sz w:val="32"/>
          <w:szCs w:val="32"/>
        </w:rPr>
        <w:t>广东</w:t>
      </w:r>
      <w:bookmarkStart w:id="119" w:name="_GoBack"/>
      <w:bookmarkEnd w:id="119"/>
      <w:r>
        <w:rPr>
          <w:rFonts w:hint="eastAsia" w:ascii="仿宋" w:hAnsi="仿宋" w:eastAsia="仿宋" w:cs="仿宋"/>
          <w:color w:val="000000"/>
          <w:sz w:val="32"/>
          <w:szCs w:val="32"/>
        </w:rPr>
        <w:t>省教育厅制</w:t>
      </w:r>
    </w:p>
    <w:p>
      <w:pPr>
        <w:ind w:firstLine="420"/>
        <w:jc w:val="center"/>
        <w:rPr>
          <w:rFonts w:ascii="宋体" w:hAnsi="宋体" w:eastAsia="宋体"/>
        </w:rPr>
        <w:sectPr>
          <w:headerReference r:id="rId3" w:type="default"/>
          <w:pgSz w:w="11906" w:h="16838"/>
          <w:pgMar w:top="1440" w:right="1800" w:bottom="1440" w:left="1800" w:header="851" w:footer="992" w:gutter="0"/>
          <w:cols w:space="425" w:num="1"/>
          <w:docGrid w:type="lines" w:linePitch="312" w:charSpace="0"/>
        </w:sectPr>
      </w:pPr>
    </w:p>
    <w:sdt>
      <w:sdtPr>
        <w:rPr>
          <w:rFonts w:ascii="宋体" w:hAnsi="宋体" w:eastAsia="宋体"/>
        </w:rPr>
        <w:id w:val="147471352"/>
        <w:docPartObj>
          <w:docPartGallery w:val="Table of Contents"/>
          <w:docPartUnique/>
        </w:docPartObj>
      </w:sdtPr>
      <w:sdtEndPr>
        <w:rPr>
          <w:rFonts w:ascii="黑体" w:hAnsi="黑体" w:eastAsia="黑体" w:cs="黑体"/>
          <w:bCs/>
          <w:szCs w:val="32"/>
          <w:highlight w:val="yellow"/>
        </w:rPr>
      </w:sdtEndPr>
      <w:sdtContent>
        <w:p>
          <w:pPr>
            <w:spacing w:line="540" w:lineRule="exact"/>
            <w:jc w:val="center"/>
          </w:pPr>
          <w:r>
            <w:rPr>
              <w:rFonts w:hint="eastAsia" w:ascii="黑体" w:hAnsi="黑体" w:eastAsia="黑体" w:cs="黑体"/>
              <w:sz w:val="32"/>
              <w:szCs w:val="36"/>
            </w:rPr>
            <w:t>目  录</w:t>
          </w:r>
        </w:p>
        <w:p>
          <w:pPr>
            <w:pStyle w:val="12"/>
            <w:tabs>
              <w:tab w:val="right" w:leader="dot" w:pos="8296"/>
            </w:tabs>
          </w:pPr>
          <w:r>
            <w:rPr>
              <w:rFonts w:ascii="Times New Roman" w:hAnsi="Times New Roman" w:eastAsia="黑体" w:cs="Times New Roman"/>
              <w:bCs/>
              <w:sz w:val="32"/>
              <w:szCs w:val="32"/>
            </w:rPr>
            <w:fldChar w:fldCharType="begin"/>
          </w:r>
          <w:r>
            <w:rPr>
              <w:rFonts w:ascii="Times New Roman" w:hAnsi="Times New Roman" w:eastAsia="黑体" w:cs="Times New Roman"/>
              <w:bCs/>
              <w:sz w:val="32"/>
              <w:szCs w:val="32"/>
            </w:rPr>
            <w:instrText xml:space="preserve">TOC \o "1-3" \h \u </w:instrText>
          </w:r>
          <w:r>
            <w:rPr>
              <w:rFonts w:ascii="Times New Roman" w:hAnsi="Times New Roman" w:eastAsia="黑体" w:cs="Times New Roman"/>
              <w:bCs/>
              <w:sz w:val="32"/>
              <w:szCs w:val="32"/>
            </w:rPr>
            <w:fldChar w:fldCharType="separate"/>
          </w:r>
          <w:r>
            <w:rPr>
              <w:b/>
              <w:bCs/>
            </w:rPr>
            <w:fldChar w:fldCharType="begin"/>
          </w:r>
          <w:r>
            <w:rPr>
              <w:b/>
              <w:bCs/>
            </w:rPr>
            <w:instrText xml:space="preserve"> HYPERLINK \l "_Toc164347809" </w:instrText>
          </w:r>
          <w:r>
            <w:rPr>
              <w:b/>
              <w:bCs/>
            </w:rPr>
            <w:fldChar w:fldCharType="separate"/>
          </w:r>
          <w:r>
            <w:rPr>
              <w:rStyle w:val="21"/>
              <w:rFonts w:hint="eastAsia"/>
              <w:b/>
              <w:bCs/>
            </w:rPr>
            <w:t>一、建设基础</w:t>
          </w:r>
          <w:r>
            <w:rPr>
              <w:b/>
              <w:bCs/>
            </w:rPr>
            <w:tab/>
          </w:r>
          <w:r>
            <w:rPr>
              <w:b/>
              <w:bCs/>
            </w:rPr>
            <w:fldChar w:fldCharType="begin"/>
          </w:r>
          <w:r>
            <w:rPr>
              <w:b/>
              <w:bCs/>
            </w:rPr>
            <w:instrText xml:space="preserve"> PAGEREF _Toc164347809 \h </w:instrText>
          </w:r>
          <w:r>
            <w:rPr>
              <w:b/>
              <w:bCs/>
            </w:rPr>
            <w:fldChar w:fldCharType="separate"/>
          </w:r>
          <w:r>
            <w:rPr>
              <w:b/>
              <w:bCs/>
            </w:rPr>
            <w:t>2</w:t>
          </w:r>
          <w:r>
            <w:rPr>
              <w:b/>
              <w:bCs/>
            </w:rPr>
            <w:fldChar w:fldCharType="end"/>
          </w:r>
          <w:r>
            <w:rPr>
              <w:b/>
              <w:bCs/>
            </w:rPr>
            <w:fldChar w:fldCharType="end"/>
          </w:r>
        </w:p>
        <w:p>
          <w:pPr>
            <w:pStyle w:val="13"/>
            <w:tabs>
              <w:tab w:val="right" w:leader="dot" w:pos="8296"/>
            </w:tabs>
          </w:pPr>
          <w:r>
            <w:fldChar w:fldCharType="begin"/>
          </w:r>
          <w:r>
            <w:instrText xml:space="preserve"> HYPERLINK \l "_Toc164347810" </w:instrText>
          </w:r>
          <w:r>
            <w:fldChar w:fldCharType="separate"/>
          </w:r>
          <w:r>
            <w:rPr>
              <w:rStyle w:val="21"/>
              <w:rFonts w:hint="eastAsia"/>
            </w:rPr>
            <w:t>（一）基本情况</w:t>
          </w:r>
          <w:r>
            <w:tab/>
          </w:r>
          <w:r>
            <w:fldChar w:fldCharType="begin"/>
          </w:r>
          <w:r>
            <w:instrText xml:space="preserve"> PAGEREF _Toc164347810 \h </w:instrText>
          </w:r>
          <w:r>
            <w:fldChar w:fldCharType="separate"/>
          </w:r>
          <w:r>
            <w:t>2</w:t>
          </w:r>
          <w:r>
            <w:fldChar w:fldCharType="end"/>
          </w:r>
          <w:r>
            <w:fldChar w:fldCharType="end"/>
          </w:r>
        </w:p>
        <w:p>
          <w:pPr>
            <w:pStyle w:val="13"/>
            <w:tabs>
              <w:tab w:val="right" w:leader="dot" w:pos="8296"/>
            </w:tabs>
          </w:pPr>
          <w:r>
            <w:fldChar w:fldCharType="begin"/>
          </w:r>
          <w:r>
            <w:instrText xml:space="preserve"> HYPERLINK \l "_Toc164347811" </w:instrText>
          </w:r>
          <w:r>
            <w:fldChar w:fldCharType="separate"/>
          </w:r>
          <w:r>
            <w:rPr>
              <w:rStyle w:val="21"/>
              <w:rFonts w:hint="eastAsia"/>
            </w:rPr>
            <w:t>（二）优势和特色</w:t>
          </w:r>
          <w:r>
            <w:tab/>
          </w:r>
          <w:r>
            <w:fldChar w:fldCharType="begin"/>
          </w:r>
          <w:r>
            <w:instrText xml:space="preserve"> PAGEREF _Toc164347811 \h </w:instrText>
          </w:r>
          <w:r>
            <w:fldChar w:fldCharType="separate"/>
          </w:r>
          <w:r>
            <w:t>7</w:t>
          </w:r>
          <w:r>
            <w:fldChar w:fldCharType="end"/>
          </w:r>
          <w:r>
            <w:fldChar w:fldCharType="end"/>
          </w:r>
        </w:p>
        <w:p>
          <w:pPr>
            <w:pStyle w:val="8"/>
            <w:tabs>
              <w:tab w:val="right" w:leader="dot" w:pos="8296"/>
            </w:tabs>
          </w:pPr>
          <w:r>
            <w:fldChar w:fldCharType="begin"/>
          </w:r>
          <w:r>
            <w:instrText xml:space="preserve"> HYPERLINK \l "_Toc164347812" </w:instrText>
          </w:r>
          <w:r>
            <w:fldChar w:fldCharType="separate"/>
          </w:r>
          <w:r>
            <w:rPr>
              <w:rStyle w:val="21"/>
            </w:rPr>
            <w:t>1.</w:t>
          </w:r>
          <w:r>
            <w:rPr>
              <w:rStyle w:val="21"/>
              <w:rFonts w:hint="eastAsia"/>
            </w:rPr>
            <w:t>优势</w:t>
          </w:r>
          <w:r>
            <w:tab/>
          </w:r>
          <w:r>
            <w:fldChar w:fldCharType="begin"/>
          </w:r>
          <w:r>
            <w:instrText xml:space="preserve"> PAGEREF _Toc164347812 \h </w:instrText>
          </w:r>
          <w:r>
            <w:fldChar w:fldCharType="separate"/>
          </w:r>
          <w:r>
            <w:t>7</w:t>
          </w:r>
          <w:r>
            <w:fldChar w:fldCharType="end"/>
          </w:r>
          <w:r>
            <w:fldChar w:fldCharType="end"/>
          </w:r>
        </w:p>
        <w:p>
          <w:pPr>
            <w:pStyle w:val="8"/>
            <w:tabs>
              <w:tab w:val="right" w:leader="dot" w:pos="8296"/>
            </w:tabs>
          </w:pPr>
          <w:r>
            <w:fldChar w:fldCharType="begin"/>
          </w:r>
          <w:r>
            <w:instrText xml:space="preserve"> HYPERLINK \l "_Toc164347813" </w:instrText>
          </w:r>
          <w:r>
            <w:fldChar w:fldCharType="separate"/>
          </w:r>
          <w:r>
            <w:rPr>
              <w:rStyle w:val="21"/>
            </w:rPr>
            <w:t>2.</w:t>
          </w:r>
          <w:r>
            <w:rPr>
              <w:rStyle w:val="21"/>
              <w:rFonts w:hint="eastAsia"/>
            </w:rPr>
            <w:t>特色</w:t>
          </w:r>
          <w:r>
            <w:tab/>
          </w:r>
          <w:r>
            <w:fldChar w:fldCharType="begin"/>
          </w:r>
          <w:r>
            <w:instrText xml:space="preserve"> PAGEREF _Toc164347813 \h </w:instrText>
          </w:r>
          <w:r>
            <w:fldChar w:fldCharType="separate"/>
          </w:r>
          <w:r>
            <w:t>11</w:t>
          </w:r>
          <w:r>
            <w:fldChar w:fldCharType="end"/>
          </w:r>
          <w:r>
            <w:fldChar w:fldCharType="end"/>
          </w:r>
        </w:p>
        <w:p>
          <w:pPr>
            <w:pStyle w:val="13"/>
            <w:tabs>
              <w:tab w:val="right" w:leader="dot" w:pos="8296"/>
            </w:tabs>
          </w:pPr>
          <w:r>
            <w:fldChar w:fldCharType="begin"/>
          </w:r>
          <w:r>
            <w:instrText xml:space="preserve"> HYPERLINK \l "_Toc164347814" </w:instrText>
          </w:r>
          <w:r>
            <w:fldChar w:fldCharType="separate"/>
          </w:r>
          <w:r>
            <w:rPr>
              <w:rStyle w:val="21"/>
              <w:rFonts w:hint="eastAsia" w:ascii="Times New Roman" w:hAnsi="Times New Roman" w:cs="Times New Roman"/>
            </w:rPr>
            <w:t>（三）机遇和挑战</w:t>
          </w:r>
          <w:r>
            <w:tab/>
          </w:r>
          <w:r>
            <w:fldChar w:fldCharType="begin"/>
          </w:r>
          <w:r>
            <w:instrText xml:space="preserve"> PAGEREF _Toc164347814 \h </w:instrText>
          </w:r>
          <w:r>
            <w:fldChar w:fldCharType="separate"/>
          </w:r>
          <w:r>
            <w:t>13</w:t>
          </w:r>
          <w:r>
            <w:fldChar w:fldCharType="end"/>
          </w:r>
          <w:r>
            <w:fldChar w:fldCharType="end"/>
          </w:r>
        </w:p>
        <w:p>
          <w:pPr>
            <w:pStyle w:val="8"/>
            <w:tabs>
              <w:tab w:val="right" w:leader="dot" w:pos="8296"/>
            </w:tabs>
          </w:pPr>
          <w:r>
            <w:fldChar w:fldCharType="begin"/>
          </w:r>
          <w:r>
            <w:instrText xml:space="preserve"> HYPERLINK \l "_Toc164347815" </w:instrText>
          </w:r>
          <w:r>
            <w:fldChar w:fldCharType="separate"/>
          </w:r>
          <w:r>
            <w:rPr>
              <w:rStyle w:val="21"/>
            </w:rPr>
            <w:t>1.</w:t>
          </w:r>
          <w:r>
            <w:rPr>
              <w:rStyle w:val="21"/>
              <w:rFonts w:hint="eastAsia"/>
            </w:rPr>
            <w:t>机遇</w:t>
          </w:r>
          <w:r>
            <w:tab/>
          </w:r>
          <w:r>
            <w:fldChar w:fldCharType="begin"/>
          </w:r>
          <w:r>
            <w:instrText xml:space="preserve"> PAGEREF _Toc164347815 \h </w:instrText>
          </w:r>
          <w:r>
            <w:fldChar w:fldCharType="separate"/>
          </w:r>
          <w:r>
            <w:t>13</w:t>
          </w:r>
          <w:r>
            <w:fldChar w:fldCharType="end"/>
          </w:r>
          <w:r>
            <w:fldChar w:fldCharType="end"/>
          </w:r>
        </w:p>
        <w:p>
          <w:pPr>
            <w:pStyle w:val="8"/>
            <w:tabs>
              <w:tab w:val="right" w:leader="dot" w:pos="8296"/>
            </w:tabs>
          </w:pPr>
          <w:r>
            <w:fldChar w:fldCharType="begin"/>
          </w:r>
          <w:r>
            <w:instrText xml:space="preserve"> HYPERLINK \l "_Toc164347816" </w:instrText>
          </w:r>
          <w:r>
            <w:fldChar w:fldCharType="separate"/>
          </w:r>
          <w:r>
            <w:rPr>
              <w:rStyle w:val="21"/>
            </w:rPr>
            <w:t>2.</w:t>
          </w:r>
          <w:r>
            <w:rPr>
              <w:rStyle w:val="21"/>
              <w:rFonts w:hint="eastAsia"/>
            </w:rPr>
            <w:t>挑战</w:t>
          </w:r>
          <w:r>
            <w:tab/>
          </w:r>
          <w:r>
            <w:fldChar w:fldCharType="begin"/>
          </w:r>
          <w:r>
            <w:instrText xml:space="preserve"> PAGEREF _Toc164347816 \h </w:instrText>
          </w:r>
          <w:r>
            <w:fldChar w:fldCharType="separate"/>
          </w:r>
          <w:r>
            <w:t>15</w:t>
          </w:r>
          <w:r>
            <w:fldChar w:fldCharType="end"/>
          </w:r>
          <w:r>
            <w:fldChar w:fldCharType="end"/>
          </w:r>
        </w:p>
        <w:p>
          <w:pPr>
            <w:pStyle w:val="12"/>
            <w:tabs>
              <w:tab w:val="right" w:leader="dot" w:pos="8296"/>
            </w:tabs>
            <w:rPr>
              <w:b/>
              <w:bCs/>
            </w:rPr>
          </w:pPr>
          <w:r>
            <w:rPr>
              <w:b/>
              <w:bCs/>
            </w:rPr>
            <w:fldChar w:fldCharType="begin"/>
          </w:r>
          <w:r>
            <w:rPr>
              <w:b/>
              <w:bCs/>
            </w:rPr>
            <w:instrText xml:space="preserve"> HYPERLINK \l "_Toc164347817" </w:instrText>
          </w:r>
          <w:r>
            <w:rPr>
              <w:b/>
              <w:bCs/>
            </w:rPr>
            <w:fldChar w:fldCharType="separate"/>
          </w:r>
          <w:r>
            <w:rPr>
              <w:rStyle w:val="21"/>
              <w:rFonts w:hint="eastAsia"/>
              <w:b/>
              <w:bCs/>
            </w:rPr>
            <w:t>二、目标愿景</w:t>
          </w:r>
          <w:r>
            <w:rPr>
              <w:b/>
              <w:bCs/>
            </w:rPr>
            <w:tab/>
          </w:r>
          <w:r>
            <w:rPr>
              <w:b/>
              <w:bCs/>
            </w:rPr>
            <w:fldChar w:fldCharType="begin"/>
          </w:r>
          <w:r>
            <w:rPr>
              <w:b/>
              <w:bCs/>
            </w:rPr>
            <w:instrText xml:space="preserve"> PAGEREF _Toc164347817 \h </w:instrText>
          </w:r>
          <w:r>
            <w:rPr>
              <w:b/>
              <w:bCs/>
            </w:rPr>
            <w:fldChar w:fldCharType="separate"/>
          </w:r>
          <w:r>
            <w:rPr>
              <w:b/>
              <w:bCs/>
            </w:rPr>
            <w:t>16</w:t>
          </w:r>
          <w:r>
            <w:rPr>
              <w:b/>
              <w:bCs/>
            </w:rPr>
            <w:fldChar w:fldCharType="end"/>
          </w:r>
          <w:r>
            <w:rPr>
              <w:b/>
              <w:bCs/>
            </w:rPr>
            <w:fldChar w:fldCharType="end"/>
          </w:r>
        </w:p>
        <w:p>
          <w:pPr>
            <w:pStyle w:val="13"/>
            <w:tabs>
              <w:tab w:val="right" w:leader="dot" w:pos="8296"/>
            </w:tabs>
          </w:pPr>
          <w:r>
            <w:fldChar w:fldCharType="begin"/>
          </w:r>
          <w:r>
            <w:instrText xml:space="preserve"> HYPERLINK \l "_Toc164347818" </w:instrText>
          </w:r>
          <w:r>
            <w:fldChar w:fldCharType="separate"/>
          </w:r>
          <w:r>
            <w:rPr>
              <w:rStyle w:val="21"/>
              <w:rFonts w:hint="eastAsia"/>
            </w:rPr>
            <w:t>（一）指导思想</w:t>
          </w:r>
          <w:r>
            <w:tab/>
          </w:r>
          <w:r>
            <w:fldChar w:fldCharType="begin"/>
          </w:r>
          <w:r>
            <w:instrText xml:space="preserve"> PAGEREF _Toc164347818 \h </w:instrText>
          </w:r>
          <w:r>
            <w:fldChar w:fldCharType="separate"/>
          </w:r>
          <w:r>
            <w:t>16</w:t>
          </w:r>
          <w:r>
            <w:fldChar w:fldCharType="end"/>
          </w:r>
          <w:r>
            <w:fldChar w:fldCharType="end"/>
          </w:r>
        </w:p>
        <w:p>
          <w:pPr>
            <w:pStyle w:val="13"/>
            <w:tabs>
              <w:tab w:val="right" w:leader="dot" w:pos="8296"/>
            </w:tabs>
          </w:pPr>
          <w:r>
            <w:fldChar w:fldCharType="begin"/>
          </w:r>
          <w:r>
            <w:instrText xml:space="preserve"> HYPERLINK \l "_Toc164347819" </w:instrText>
          </w:r>
          <w:r>
            <w:fldChar w:fldCharType="separate"/>
          </w:r>
          <w:r>
            <w:rPr>
              <w:rStyle w:val="21"/>
              <w:rFonts w:hint="eastAsia"/>
            </w:rPr>
            <w:t>（二）建设思路</w:t>
          </w:r>
          <w:r>
            <w:tab/>
          </w:r>
          <w:r>
            <w:fldChar w:fldCharType="begin"/>
          </w:r>
          <w:r>
            <w:instrText xml:space="preserve"> PAGEREF _Toc164347819 \h </w:instrText>
          </w:r>
          <w:r>
            <w:fldChar w:fldCharType="separate"/>
          </w:r>
          <w:r>
            <w:t>16</w:t>
          </w:r>
          <w:r>
            <w:fldChar w:fldCharType="end"/>
          </w:r>
          <w:r>
            <w:fldChar w:fldCharType="end"/>
          </w:r>
        </w:p>
        <w:p>
          <w:pPr>
            <w:pStyle w:val="13"/>
            <w:tabs>
              <w:tab w:val="right" w:leader="dot" w:pos="8296"/>
            </w:tabs>
          </w:pPr>
          <w:r>
            <w:fldChar w:fldCharType="begin"/>
          </w:r>
          <w:r>
            <w:instrText xml:space="preserve"> HYPERLINK \l "_Toc164347820" </w:instrText>
          </w:r>
          <w:r>
            <w:fldChar w:fldCharType="separate"/>
          </w:r>
          <w:r>
            <w:rPr>
              <w:rStyle w:val="21"/>
              <w:rFonts w:hint="eastAsia"/>
            </w:rPr>
            <w:t>（三）拟解决的关键问题</w:t>
          </w:r>
          <w:r>
            <w:tab/>
          </w:r>
          <w:r>
            <w:fldChar w:fldCharType="begin"/>
          </w:r>
          <w:r>
            <w:instrText xml:space="preserve"> PAGEREF _Toc164347820 \h </w:instrText>
          </w:r>
          <w:r>
            <w:fldChar w:fldCharType="separate"/>
          </w:r>
          <w:r>
            <w:t>17</w:t>
          </w:r>
          <w:r>
            <w:fldChar w:fldCharType="end"/>
          </w:r>
          <w:r>
            <w:fldChar w:fldCharType="end"/>
          </w:r>
        </w:p>
        <w:p>
          <w:pPr>
            <w:pStyle w:val="13"/>
            <w:tabs>
              <w:tab w:val="right" w:leader="dot" w:pos="8296"/>
            </w:tabs>
          </w:pPr>
          <w:r>
            <w:fldChar w:fldCharType="begin"/>
          </w:r>
          <w:r>
            <w:instrText xml:space="preserve"> HYPERLINK \l "_Toc164347821" </w:instrText>
          </w:r>
          <w:r>
            <w:fldChar w:fldCharType="separate"/>
          </w:r>
          <w:r>
            <w:rPr>
              <w:rStyle w:val="21"/>
              <w:rFonts w:hint="eastAsia"/>
            </w:rPr>
            <w:t>（四）建设目标</w:t>
          </w:r>
          <w:r>
            <w:tab/>
          </w:r>
          <w:r>
            <w:fldChar w:fldCharType="begin"/>
          </w:r>
          <w:r>
            <w:instrText xml:space="preserve"> PAGEREF _Toc164347821 \h </w:instrText>
          </w:r>
          <w:r>
            <w:fldChar w:fldCharType="separate"/>
          </w:r>
          <w:r>
            <w:t>17</w:t>
          </w:r>
          <w:r>
            <w:fldChar w:fldCharType="end"/>
          </w:r>
          <w:r>
            <w:fldChar w:fldCharType="end"/>
          </w:r>
        </w:p>
        <w:p>
          <w:pPr>
            <w:pStyle w:val="8"/>
            <w:tabs>
              <w:tab w:val="right" w:leader="dot" w:pos="8296"/>
            </w:tabs>
          </w:pPr>
          <w:r>
            <w:fldChar w:fldCharType="begin"/>
          </w:r>
          <w:r>
            <w:instrText xml:space="preserve"> HYPERLINK \l "_Toc164347822" </w:instrText>
          </w:r>
          <w:r>
            <w:fldChar w:fldCharType="separate"/>
          </w:r>
          <w:r>
            <w:rPr>
              <w:rStyle w:val="21"/>
            </w:rPr>
            <w:t>1.</w:t>
          </w:r>
          <w:r>
            <w:rPr>
              <w:rStyle w:val="21"/>
              <w:rFonts w:hint="eastAsia"/>
            </w:rPr>
            <w:t>总体目标</w:t>
          </w:r>
          <w:r>
            <w:tab/>
          </w:r>
          <w:r>
            <w:fldChar w:fldCharType="begin"/>
          </w:r>
          <w:r>
            <w:instrText xml:space="preserve"> PAGEREF _Toc164347822 \h </w:instrText>
          </w:r>
          <w:r>
            <w:fldChar w:fldCharType="separate"/>
          </w:r>
          <w:r>
            <w:t>17</w:t>
          </w:r>
          <w:r>
            <w:fldChar w:fldCharType="end"/>
          </w:r>
          <w:r>
            <w:fldChar w:fldCharType="end"/>
          </w:r>
        </w:p>
        <w:p>
          <w:pPr>
            <w:pStyle w:val="8"/>
            <w:tabs>
              <w:tab w:val="right" w:leader="dot" w:pos="8296"/>
            </w:tabs>
          </w:pPr>
          <w:r>
            <w:fldChar w:fldCharType="begin"/>
          </w:r>
          <w:r>
            <w:instrText xml:space="preserve"> HYPERLINK \l "_Toc164347823" </w:instrText>
          </w:r>
          <w:r>
            <w:fldChar w:fldCharType="separate"/>
          </w:r>
          <w:r>
            <w:rPr>
              <w:rStyle w:val="21"/>
            </w:rPr>
            <w:t>2.</w:t>
          </w:r>
          <w:r>
            <w:rPr>
              <w:rStyle w:val="21"/>
              <w:rFonts w:hint="eastAsia"/>
            </w:rPr>
            <w:t>标志性成果与量化指标</w:t>
          </w:r>
          <w:r>
            <w:tab/>
          </w:r>
          <w:r>
            <w:fldChar w:fldCharType="begin"/>
          </w:r>
          <w:r>
            <w:instrText xml:space="preserve"> PAGEREF _Toc164347823 \h </w:instrText>
          </w:r>
          <w:r>
            <w:fldChar w:fldCharType="separate"/>
          </w:r>
          <w:r>
            <w:t>18</w:t>
          </w:r>
          <w:r>
            <w:fldChar w:fldCharType="end"/>
          </w:r>
          <w:r>
            <w:fldChar w:fldCharType="end"/>
          </w:r>
        </w:p>
        <w:p>
          <w:pPr>
            <w:pStyle w:val="12"/>
            <w:tabs>
              <w:tab w:val="right" w:leader="dot" w:pos="8296"/>
            </w:tabs>
          </w:pPr>
          <w:r>
            <w:rPr>
              <w:b/>
              <w:bCs/>
            </w:rPr>
            <w:fldChar w:fldCharType="begin"/>
          </w:r>
          <w:r>
            <w:rPr>
              <w:b/>
              <w:bCs/>
            </w:rPr>
            <w:instrText xml:space="preserve"> HYPERLINK \l "_Toc164347824" </w:instrText>
          </w:r>
          <w:r>
            <w:rPr>
              <w:b/>
              <w:bCs/>
            </w:rPr>
            <w:fldChar w:fldCharType="separate"/>
          </w:r>
          <w:r>
            <w:rPr>
              <w:rStyle w:val="21"/>
              <w:rFonts w:hint="eastAsia"/>
              <w:b/>
              <w:bCs/>
            </w:rPr>
            <w:t>三、重点建设任务</w:t>
          </w:r>
          <w:r>
            <w:rPr>
              <w:b/>
              <w:bCs/>
            </w:rPr>
            <w:tab/>
          </w:r>
          <w:r>
            <w:rPr>
              <w:b/>
              <w:bCs/>
            </w:rPr>
            <w:fldChar w:fldCharType="begin"/>
          </w:r>
          <w:r>
            <w:rPr>
              <w:b/>
              <w:bCs/>
            </w:rPr>
            <w:instrText xml:space="preserve"> PAGEREF _Toc164347824 \h </w:instrText>
          </w:r>
          <w:r>
            <w:rPr>
              <w:b/>
              <w:bCs/>
            </w:rPr>
            <w:fldChar w:fldCharType="separate"/>
          </w:r>
          <w:r>
            <w:rPr>
              <w:b/>
              <w:bCs/>
            </w:rPr>
            <w:t>22</w:t>
          </w:r>
          <w:r>
            <w:rPr>
              <w:b/>
              <w:bCs/>
            </w:rPr>
            <w:fldChar w:fldCharType="end"/>
          </w:r>
          <w:r>
            <w:rPr>
              <w:b/>
              <w:bCs/>
            </w:rPr>
            <w:fldChar w:fldCharType="end"/>
          </w:r>
        </w:p>
        <w:p>
          <w:pPr>
            <w:pStyle w:val="13"/>
            <w:tabs>
              <w:tab w:val="right" w:leader="dot" w:pos="8296"/>
            </w:tabs>
          </w:pPr>
          <w:r>
            <w:fldChar w:fldCharType="begin"/>
          </w:r>
          <w:r>
            <w:instrText xml:space="preserve"> HYPERLINK \l "_Toc164347825" </w:instrText>
          </w:r>
          <w:r>
            <w:fldChar w:fldCharType="separate"/>
          </w:r>
          <w:r>
            <w:rPr>
              <w:rStyle w:val="21"/>
              <w:rFonts w:hint="eastAsia"/>
            </w:rPr>
            <w:t>（一）高质量党建引领学校高质量发展项目</w:t>
          </w:r>
          <w:r>
            <w:tab/>
          </w:r>
          <w:r>
            <w:fldChar w:fldCharType="begin"/>
          </w:r>
          <w:r>
            <w:instrText xml:space="preserve"> PAGEREF _Toc164347825 \h </w:instrText>
          </w:r>
          <w:r>
            <w:fldChar w:fldCharType="separate"/>
          </w:r>
          <w:r>
            <w:t>22</w:t>
          </w:r>
          <w:r>
            <w:fldChar w:fldCharType="end"/>
          </w:r>
          <w:r>
            <w:fldChar w:fldCharType="end"/>
          </w:r>
        </w:p>
        <w:p>
          <w:pPr>
            <w:pStyle w:val="8"/>
            <w:tabs>
              <w:tab w:val="right" w:leader="dot" w:pos="8296"/>
            </w:tabs>
          </w:pPr>
          <w:r>
            <w:fldChar w:fldCharType="begin"/>
          </w:r>
          <w:r>
            <w:instrText xml:space="preserve"> HYPERLINK \l "_Toc164347826" </w:instrText>
          </w:r>
          <w:r>
            <w:fldChar w:fldCharType="separate"/>
          </w:r>
          <w:r>
            <w:rPr>
              <w:rStyle w:val="21"/>
            </w:rPr>
            <w:t>1.</w:t>
          </w:r>
          <w:r>
            <w:rPr>
              <w:rStyle w:val="21"/>
              <w:rFonts w:hint="eastAsia"/>
            </w:rPr>
            <w:t>党建示范创优项目</w:t>
          </w:r>
          <w:r>
            <w:tab/>
          </w:r>
          <w:r>
            <w:fldChar w:fldCharType="begin"/>
          </w:r>
          <w:r>
            <w:instrText xml:space="preserve"> PAGEREF _Toc164347826 \h </w:instrText>
          </w:r>
          <w:r>
            <w:fldChar w:fldCharType="separate"/>
          </w:r>
          <w:r>
            <w:t>22</w:t>
          </w:r>
          <w:r>
            <w:fldChar w:fldCharType="end"/>
          </w:r>
          <w:r>
            <w:fldChar w:fldCharType="end"/>
          </w:r>
        </w:p>
        <w:p>
          <w:pPr>
            <w:pStyle w:val="8"/>
            <w:tabs>
              <w:tab w:val="right" w:leader="dot" w:pos="8296"/>
            </w:tabs>
          </w:pPr>
          <w:r>
            <w:fldChar w:fldCharType="begin"/>
          </w:r>
          <w:r>
            <w:instrText xml:space="preserve"> HYPERLINK \l "_Toc164347827" </w:instrText>
          </w:r>
          <w:r>
            <w:fldChar w:fldCharType="separate"/>
          </w:r>
          <w:r>
            <w:rPr>
              <w:rStyle w:val="21"/>
            </w:rPr>
            <w:t>2.</w:t>
          </w:r>
          <w:r>
            <w:rPr>
              <w:rStyle w:val="21"/>
              <w:rFonts w:hint="eastAsia"/>
            </w:rPr>
            <w:t>意识形态主阵地建设项目</w:t>
          </w:r>
          <w:r>
            <w:tab/>
          </w:r>
          <w:r>
            <w:fldChar w:fldCharType="begin"/>
          </w:r>
          <w:r>
            <w:instrText xml:space="preserve"> PAGEREF _Toc164347827 \h </w:instrText>
          </w:r>
          <w:r>
            <w:fldChar w:fldCharType="separate"/>
          </w:r>
          <w:r>
            <w:t>25</w:t>
          </w:r>
          <w:r>
            <w:fldChar w:fldCharType="end"/>
          </w:r>
          <w:r>
            <w:fldChar w:fldCharType="end"/>
          </w:r>
        </w:p>
        <w:p>
          <w:pPr>
            <w:pStyle w:val="8"/>
            <w:tabs>
              <w:tab w:val="right" w:leader="dot" w:pos="8296"/>
            </w:tabs>
          </w:pPr>
          <w:r>
            <w:fldChar w:fldCharType="begin"/>
          </w:r>
          <w:r>
            <w:instrText xml:space="preserve"> HYPERLINK \l "_Toc164347828" </w:instrText>
          </w:r>
          <w:r>
            <w:fldChar w:fldCharType="separate"/>
          </w:r>
          <w:r>
            <w:rPr>
              <w:rStyle w:val="21"/>
            </w:rPr>
            <w:t>3.</w:t>
          </w:r>
          <w:r>
            <w:rPr>
              <w:rStyle w:val="21"/>
              <w:rFonts w:hint="eastAsia"/>
            </w:rPr>
            <w:t>落实立德树人任务，实施“</w:t>
          </w:r>
          <w:r>
            <w:rPr>
              <w:rStyle w:val="21"/>
            </w:rPr>
            <w:t>2+1</w:t>
          </w:r>
          <w:r>
            <w:rPr>
              <w:rStyle w:val="21"/>
              <w:rFonts w:hint="eastAsia"/>
            </w:rPr>
            <w:t>”工程项目</w:t>
          </w:r>
          <w:r>
            <w:tab/>
          </w:r>
          <w:r>
            <w:fldChar w:fldCharType="begin"/>
          </w:r>
          <w:r>
            <w:instrText xml:space="preserve"> PAGEREF _Toc164347828 \h </w:instrText>
          </w:r>
          <w:r>
            <w:fldChar w:fldCharType="separate"/>
          </w:r>
          <w:r>
            <w:t>30</w:t>
          </w:r>
          <w:r>
            <w:fldChar w:fldCharType="end"/>
          </w:r>
          <w:r>
            <w:fldChar w:fldCharType="end"/>
          </w:r>
        </w:p>
        <w:p>
          <w:pPr>
            <w:pStyle w:val="8"/>
            <w:tabs>
              <w:tab w:val="right" w:leader="dot" w:pos="8296"/>
            </w:tabs>
          </w:pPr>
          <w:r>
            <w:fldChar w:fldCharType="begin"/>
          </w:r>
          <w:r>
            <w:instrText xml:space="preserve"> HYPERLINK \l "_Toc164347829" </w:instrText>
          </w:r>
          <w:r>
            <w:fldChar w:fldCharType="separate"/>
          </w:r>
          <w:r>
            <w:rPr>
              <w:rStyle w:val="21"/>
            </w:rPr>
            <w:t>4.</w:t>
          </w:r>
          <w:r>
            <w:rPr>
              <w:rStyle w:val="21"/>
              <w:rFonts w:hint="eastAsia"/>
            </w:rPr>
            <w:t>依法治校，学校治理水平提升项目</w:t>
          </w:r>
          <w:r>
            <w:tab/>
          </w:r>
          <w:r>
            <w:fldChar w:fldCharType="begin"/>
          </w:r>
          <w:r>
            <w:instrText xml:space="preserve"> PAGEREF _Toc164347829 \h </w:instrText>
          </w:r>
          <w:r>
            <w:fldChar w:fldCharType="separate"/>
          </w:r>
          <w:r>
            <w:t>37</w:t>
          </w:r>
          <w:r>
            <w:fldChar w:fldCharType="end"/>
          </w:r>
          <w:r>
            <w:fldChar w:fldCharType="end"/>
          </w:r>
        </w:p>
        <w:p>
          <w:pPr>
            <w:pStyle w:val="8"/>
            <w:tabs>
              <w:tab w:val="right" w:leader="dot" w:pos="8296"/>
            </w:tabs>
          </w:pPr>
          <w:r>
            <w:fldChar w:fldCharType="begin"/>
          </w:r>
          <w:r>
            <w:instrText xml:space="preserve"> HYPERLINK \l "_Toc164347830" </w:instrText>
          </w:r>
          <w:r>
            <w:fldChar w:fldCharType="separate"/>
          </w:r>
          <w:r>
            <w:rPr>
              <w:rStyle w:val="21"/>
            </w:rPr>
            <w:t>5.</w:t>
          </w:r>
          <w:r>
            <w:rPr>
              <w:rStyle w:val="21"/>
              <w:rFonts w:hint="eastAsia"/>
            </w:rPr>
            <w:t>流程再造，体制机制改革项目</w:t>
          </w:r>
          <w:r>
            <w:tab/>
          </w:r>
          <w:r>
            <w:fldChar w:fldCharType="begin"/>
          </w:r>
          <w:r>
            <w:instrText xml:space="preserve"> PAGEREF _Toc164347830 \h </w:instrText>
          </w:r>
          <w:r>
            <w:fldChar w:fldCharType="separate"/>
          </w:r>
          <w:r>
            <w:t>40</w:t>
          </w:r>
          <w:r>
            <w:fldChar w:fldCharType="end"/>
          </w:r>
          <w:r>
            <w:fldChar w:fldCharType="end"/>
          </w:r>
        </w:p>
        <w:p>
          <w:pPr>
            <w:pStyle w:val="8"/>
            <w:tabs>
              <w:tab w:val="right" w:leader="dot" w:pos="8296"/>
            </w:tabs>
          </w:pPr>
          <w:r>
            <w:fldChar w:fldCharType="begin"/>
          </w:r>
          <w:r>
            <w:instrText xml:space="preserve"> HYPERLINK \l "_Toc164347831" </w:instrText>
          </w:r>
          <w:r>
            <w:fldChar w:fldCharType="separate"/>
          </w:r>
          <w:r>
            <w:rPr>
              <w:rStyle w:val="21"/>
              <w:rFonts w:hint="eastAsia" w:ascii="Times New Roman" w:hAnsi="Times New Roman" w:eastAsia="宋体" w:cs="Times New Roman"/>
            </w:rPr>
            <w:t>6.内部质量保证体系建设项目</w:t>
          </w:r>
          <w:r>
            <w:tab/>
          </w:r>
          <w:r>
            <w:fldChar w:fldCharType="begin"/>
          </w:r>
          <w:r>
            <w:instrText xml:space="preserve"> PAGEREF _Toc164347831 \h </w:instrText>
          </w:r>
          <w:r>
            <w:fldChar w:fldCharType="separate"/>
          </w:r>
          <w:r>
            <w:t>46</w:t>
          </w:r>
          <w:r>
            <w:fldChar w:fldCharType="end"/>
          </w:r>
          <w:r>
            <w:fldChar w:fldCharType="end"/>
          </w:r>
        </w:p>
        <w:p>
          <w:pPr>
            <w:pStyle w:val="13"/>
            <w:tabs>
              <w:tab w:val="right" w:leader="dot" w:pos="8296"/>
            </w:tabs>
          </w:pPr>
          <w:r>
            <w:fldChar w:fldCharType="begin"/>
          </w:r>
          <w:r>
            <w:instrText xml:space="preserve"> HYPERLINK \l "_Toc164347832" </w:instrText>
          </w:r>
          <w:r>
            <w:fldChar w:fldCharType="separate"/>
          </w:r>
          <w:r>
            <w:rPr>
              <w:rStyle w:val="21"/>
              <w:rFonts w:hint="eastAsia"/>
            </w:rPr>
            <w:t>（二）办学条件改善项目</w:t>
          </w:r>
          <w:r>
            <w:tab/>
          </w:r>
          <w:r>
            <w:fldChar w:fldCharType="begin"/>
          </w:r>
          <w:r>
            <w:instrText xml:space="preserve"> PAGEREF _Toc164347832 \h </w:instrText>
          </w:r>
          <w:r>
            <w:fldChar w:fldCharType="separate"/>
          </w:r>
          <w:r>
            <w:t>54</w:t>
          </w:r>
          <w:r>
            <w:fldChar w:fldCharType="end"/>
          </w:r>
          <w:r>
            <w:fldChar w:fldCharType="end"/>
          </w:r>
        </w:p>
        <w:p>
          <w:pPr>
            <w:pStyle w:val="8"/>
            <w:tabs>
              <w:tab w:val="right" w:leader="dot" w:pos="8296"/>
            </w:tabs>
          </w:pPr>
          <w:r>
            <w:fldChar w:fldCharType="begin"/>
          </w:r>
          <w:r>
            <w:instrText xml:space="preserve"> HYPERLINK \l "_Toc164347833" </w:instrText>
          </w:r>
          <w:r>
            <w:fldChar w:fldCharType="separate"/>
          </w:r>
          <w:r>
            <w:rPr>
              <w:rStyle w:val="21"/>
            </w:rPr>
            <w:t>1.</w:t>
          </w:r>
          <w:r>
            <w:rPr>
              <w:rStyle w:val="21"/>
              <w:rFonts w:hint="eastAsia"/>
            </w:rPr>
            <w:t>生师比达标项目</w:t>
          </w:r>
          <w:r>
            <w:tab/>
          </w:r>
          <w:r>
            <w:fldChar w:fldCharType="begin"/>
          </w:r>
          <w:r>
            <w:instrText xml:space="preserve"> PAGEREF _Toc164347833 \h </w:instrText>
          </w:r>
          <w:r>
            <w:fldChar w:fldCharType="separate"/>
          </w:r>
          <w:r>
            <w:t>54</w:t>
          </w:r>
          <w:r>
            <w:fldChar w:fldCharType="end"/>
          </w:r>
          <w:r>
            <w:fldChar w:fldCharType="end"/>
          </w:r>
        </w:p>
        <w:p>
          <w:pPr>
            <w:pStyle w:val="8"/>
            <w:tabs>
              <w:tab w:val="right" w:leader="dot" w:pos="8296"/>
            </w:tabs>
          </w:pPr>
          <w:r>
            <w:fldChar w:fldCharType="begin"/>
          </w:r>
          <w:r>
            <w:instrText xml:space="preserve"> HYPERLINK \l "_Toc164347834" </w:instrText>
          </w:r>
          <w:r>
            <w:fldChar w:fldCharType="separate"/>
          </w:r>
          <w:r>
            <w:rPr>
              <w:rStyle w:val="21"/>
            </w:rPr>
            <w:t>2.</w:t>
          </w:r>
          <w:r>
            <w:rPr>
              <w:rStyle w:val="21"/>
              <w:rFonts w:hint="eastAsia"/>
            </w:rPr>
            <w:t>教学行政用房提升工程</w:t>
          </w:r>
          <w:r>
            <w:tab/>
          </w:r>
          <w:r>
            <w:fldChar w:fldCharType="begin"/>
          </w:r>
          <w:r>
            <w:instrText xml:space="preserve"> PAGEREF _Toc164347834 \h </w:instrText>
          </w:r>
          <w:r>
            <w:fldChar w:fldCharType="separate"/>
          </w:r>
          <w:r>
            <w:t>57</w:t>
          </w:r>
          <w:r>
            <w:fldChar w:fldCharType="end"/>
          </w:r>
          <w:r>
            <w:fldChar w:fldCharType="end"/>
          </w:r>
        </w:p>
        <w:p>
          <w:pPr>
            <w:pStyle w:val="8"/>
            <w:tabs>
              <w:tab w:val="right" w:leader="dot" w:pos="8296"/>
            </w:tabs>
          </w:pPr>
          <w:r>
            <w:fldChar w:fldCharType="begin"/>
          </w:r>
          <w:r>
            <w:instrText xml:space="preserve"> HYPERLINK \l "_Toc164347835" </w:instrText>
          </w:r>
          <w:r>
            <w:fldChar w:fldCharType="separate"/>
          </w:r>
          <w:r>
            <w:rPr>
              <w:rStyle w:val="21"/>
            </w:rPr>
            <w:t>3.</w:t>
          </w:r>
          <w:r>
            <w:rPr>
              <w:rStyle w:val="21"/>
              <w:rFonts w:hint="eastAsia"/>
            </w:rPr>
            <w:t>实训场所提升工程</w:t>
          </w:r>
          <w:r>
            <w:tab/>
          </w:r>
          <w:r>
            <w:fldChar w:fldCharType="begin"/>
          </w:r>
          <w:r>
            <w:instrText xml:space="preserve"> PAGEREF _Toc164347835 \h </w:instrText>
          </w:r>
          <w:r>
            <w:fldChar w:fldCharType="separate"/>
          </w:r>
          <w:r>
            <w:t>60</w:t>
          </w:r>
          <w:r>
            <w:fldChar w:fldCharType="end"/>
          </w:r>
          <w:r>
            <w:fldChar w:fldCharType="end"/>
          </w:r>
        </w:p>
        <w:p>
          <w:pPr>
            <w:pStyle w:val="8"/>
            <w:tabs>
              <w:tab w:val="right" w:leader="dot" w:pos="8296"/>
            </w:tabs>
          </w:pPr>
          <w:r>
            <w:fldChar w:fldCharType="begin"/>
          </w:r>
          <w:r>
            <w:instrText xml:space="preserve"> HYPERLINK \l "_Toc164347836" </w:instrText>
          </w:r>
          <w:r>
            <w:fldChar w:fldCharType="separate"/>
          </w:r>
          <w:r>
            <w:rPr>
              <w:rStyle w:val="21"/>
            </w:rPr>
            <w:t>4.</w:t>
          </w:r>
          <w:r>
            <w:rPr>
              <w:rStyle w:val="21"/>
              <w:rFonts w:hint="eastAsia"/>
            </w:rPr>
            <w:t>图书馆建设提升工程</w:t>
          </w:r>
          <w:r>
            <w:tab/>
          </w:r>
          <w:r>
            <w:fldChar w:fldCharType="begin"/>
          </w:r>
          <w:r>
            <w:instrText xml:space="preserve"> PAGEREF _Toc164347836 \h </w:instrText>
          </w:r>
          <w:r>
            <w:fldChar w:fldCharType="separate"/>
          </w:r>
          <w:r>
            <w:t>63</w:t>
          </w:r>
          <w:r>
            <w:fldChar w:fldCharType="end"/>
          </w:r>
          <w:r>
            <w:fldChar w:fldCharType="end"/>
          </w:r>
        </w:p>
        <w:p>
          <w:pPr>
            <w:pStyle w:val="13"/>
            <w:tabs>
              <w:tab w:val="right" w:leader="dot" w:pos="8296"/>
            </w:tabs>
          </w:pPr>
          <w:r>
            <w:fldChar w:fldCharType="begin"/>
          </w:r>
          <w:r>
            <w:instrText xml:space="preserve"> HYPERLINK \l "_Toc164347837" </w:instrText>
          </w:r>
          <w:r>
            <w:fldChar w:fldCharType="separate"/>
          </w:r>
          <w:r>
            <w:rPr>
              <w:rStyle w:val="21"/>
              <w:rFonts w:hint="eastAsia"/>
            </w:rPr>
            <w:t>（三）教学质量与教学改革项目</w:t>
          </w:r>
          <w:r>
            <w:tab/>
          </w:r>
          <w:r>
            <w:fldChar w:fldCharType="begin"/>
          </w:r>
          <w:r>
            <w:instrText xml:space="preserve"> PAGEREF _Toc164347837 \h </w:instrText>
          </w:r>
          <w:r>
            <w:fldChar w:fldCharType="separate"/>
          </w:r>
          <w:r>
            <w:t>66</w:t>
          </w:r>
          <w:r>
            <w:fldChar w:fldCharType="end"/>
          </w:r>
          <w:r>
            <w:fldChar w:fldCharType="end"/>
          </w:r>
        </w:p>
        <w:p>
          <w:pPr>
            <w:pStyle w:val="8"/>
            <w:tabs>
              <w:tab w:val="right" w:leader="dot" w:pos="8296"/>
            </w:tabs>
          </w:pPr>
          <w:r>
            <w:fldChar w:fldCharType="begin"/>
          </w:r>
          <w:r>
            <w:instrText xml:space="preserve"> HYPERLINK \l "_Toc164347838" </w:instrText>
          </w:r>
          <w:r>
            <w:fldChar w:fldCharType="separate"/>
          </w:r>
          <w:r>
            <w:rPr>
              <w:rStyle w:val="21"/>
            </w:rPr>
            <w:t>1.</w:t>
          </w:r>
          <w:r>
            <w:rPr>
              <w:rStyle w:val="21"/>
              <w:rFonts w:hint="eastAsia"/>
            </w:rPr>
            <w:t>办学定位与专业设置适应度提升项目</w:t>
          </w:r>
          <w:r>
            <w:tab/>
          </w:r>
          <w:r>
            <w:fldChar w:fldCharType="begin"/>
          </w:r>
          <w:r>
            <w:instrText xml:space="preserve"> PAGEREF _Toc164347838 \h </w:instrText>
          </w:r>
          <w:r>
            <w:fldChar w:fldCharType="separate"/>
          </w:r>
          <w:r>
            <w:t>66</w:t>
          </w:r>
          <w:r>
            <w:fldChar w:fldCharType="end"/>
          </w:r>
          <w:r>
            <w:fldChar w:fldCharType="end"/>
          </w:r>
        </w:p>
        <w:p>
          <w:pPr>
            <w:pStyle w:val="8"/>
            <w:tabs>
              <w:tab w:val="right" w:leader="dot" w:pos="8296"/>
            </w:tabs>
          </w:pPr>
          <w:r>
            <w:fldChar w:fldCharType="begin"/>
          </w:r>
          <w:r>
            <w:instrText xml:space="preserve"> HYPERLINK \l "_Toc164347839" </w:instrText>
          </w:r>
          <w:r>
            <w:fldChar w:fldCharType="separate"/>
          </w:r>
          <w:r>
            <w:rPr>
              <w:rStyle w:val="21"/>
            </w:rPr>
            <w:t>2.</w:t>
          </w:r>
          <w:r>
            <w:rPr>
              <w:rStyle w:val="21"/>
              <w:rFonts w:hint="eastAsia"/>
            </w:rPr>
            <w:t>中高本贯通培养项目</w:t>
          </w:r>
          <w:r>
            <w:tab/>
          </w:r>
          <w:r>
            <w:fldChar w:fldCharType="begin"/>
          </w:r>
          <w:r>
            <w:instrText xml:space="preserve"> PAGEREF _Toc164347839 \h </w:instrText>
          </w:r>
          <w:r>
            <w:fldChar w:fldCharType="separate"/>
          </w:r>
          <w:r>
            <w:t>70</w:t>
          </w:r>
          <w:r>
            <w:fldChar w:fldCharType="end"/>
          </w:r>
          <w:r>
            <w:fldChar w:fldCharType="end"/>
          </w:r>
        </w:p>
        <w:p>
          <w:pPr>
            <w:pStyle w:val="8"/>
            <w:tabs>
              <w:tab w:val="right" w:leader="dot" w:pos="8296"/>
            </w:tabs>
          </w:pPr>
          <w:r>
            <w:fldChar w:fldCharType="begin"/>
          </w:r>
          <w:r>
            <w:instrText xml:space="preserve"> HYPERLINK \l "_Toc164347840" </w:instrText>
          </w:r>
          <w:r>
            <w:fldChar w:fldCharType="separate"/>
          </w:r>
          <w:r>
            <w:rPr>
              <w:rStyle w:val="21"/>
            </w:rPr>
            <w:t>3.</w:t>
          </w:r>
          <w:r>
            <w:rPr>
              <w:rStyle w:val="21"/>
              <w:rFonts w:hint="eastAsia"/>
            </w:rPr>
            <w:t>高水平职业院校建设项目</w:t>
          </w:r>
          <w:r>
            <w:tab/>
          </w:r>
          <w:r>
            <w:fldChar w:fldCharType="begin"/>
          </w:r>
          <w:r>
            <w:instrText xml:space="preserve"> PAGEREF _Toc164347840 \h </w:instrText>
          </w:r>
          <w:r>
            <w:fldChar w:fldCharType="separate"/>
          </w:r>
          <w:r>
            <w:t>76</w:t>
          </w:r>
          <w:r>
            <w:fldChar w:fldCharType="end"/>
          </w:r>
          <w:r>
            <w:fldChar w:fldCharType="end"/>
          </w:r>
        </w:p>
        <w:p>
          <w:pPr>
            <w:pStyle w:val="8"/>
            <w:tabs>
              <w:tab w:val="right" w:leader="dot" w:pos="8296"/>
            </w:tabs>
          </w:pPr>
          <w:r>
            <w:fldChar w:fldCharType="begin"/>
          </w:r>
          <w:r>
            <w:instrText xml:space="preserve"> HYPERLINK \l "_Toc164347841" </w:instrText>
          </w:r>
          <w:r>
            <w:fldChar w:fldCharType="separate"/>
          </w:r>
          <w:r>
            <w:rPr>
              <w:rStyle w:val="21"/>
            </w:rPr>
            <w:t>4.</w:t>
          </w:r>
          <w:r>
            <w:rPr>
              <w:rStyle w:val="21"/>
              <w:rFonts w:hint="eastAsia"/>
            </w:rPr>
            <w:t>高水平专业群建设项目</w:t>
          </w:r>
          <w:r>
            <w:tab/>
          </w:r>
          <w:r>
            <w:fldChar w:fldCharType="begin"/>
          </w:r>
          <w:r>
            <w:instrText xml:space="preserve"> PAGEREF _Toc164347841 \h </w:instrText>
          </w:r>
          <w:r>
            <w:fldChar w:fldCharType="separate"/>
          </w:r>
          <w:r>
            <w:t>79</w:t>
          </w:r>
          <w:r>
            <w:fldChar w:fldCharType="end"/>
          </w:r>
          <w:r>
            <w:fldChar w:fldCharType="end"/>
          </w:r>
        </w:p>
        <w:p>
          <w:pPr>
            <w:pStyle w:val="8"/>
            <w:tabs>
              <w:tab w:val="right" w:leader="dot" w:pos="8296"/>
            </w:tabs>
          </w:pPr>
          <w:r>
            <w:fldChar w:fldCharType="begin"/>
          </w:r>
          <w:r>
            <w:instrText xml:space="preserve"> HYPERLINK \l "_Toc164347842" </w:instrText>
          </w:r>
          <w:r>
            <w:fldChar w:fldCharType="separate"/>
          </w:r>
          <w:r>
            <w:rPr>
              <w:rStyle w:val="21"/>
            </w:rPr>
            <w:t>5.</w:t>
          </w:r>
          <w:r>
            <w:rPr>
              <w:rStyle w:val="21"/>
              <w:rFonts w:hint="eastAsia"/>
              <w:lang w:val="en-US" w:eastAsia="zh-CN"/>
            </w:rPr>
            <w:t xml:space="preserve"> </w:t>
          </w:r>
          <w:r>
            <w:rPr>
              <w:rStyle w:val="21"/>
            </w:rPr>
            <w:t>1+X</w:t>
          </w:r>
          <w:r>
            <w:rPr>
              <w:rStyle w:val="21"/>
              <w:rFonts w:hint="eastAsia"/>
            </w:rPr>
            <w:t>证书制度试点项目</w:t>
          </w:r>
          <w:r>
            <w:tab/>
          </w:r>
          <w:r>
            <w:fldChar w:fldCharType="begin"/>
          </w:r>
          <w:r>
            <w:instrText xml:space="preserve"> PAGEREF _Toc164347842 \h </w:instrText>
          </w:r>
          <w:r>
            <w:fldChar w:fldCharType="separate"/>
          </w:r>
          <w:r>
            <w:t>86</w:t>
          </w:r>
          <w:r>
            <w:fldChar w:fldCharType="end"/>
          </w:r>
          <w:r>
            <w:fldChar w:fldCharType="end"/>
          </w:r>
        </w:p>
        <w:p>
          <w:pPr>
            <w:pStyle w:val="8"/>
            <w:tabs>
              <w:tab w:val="right" w:leader="dot" w:pos="8296"/>
            </w:tabs>
          </w:pPr>
          <w:r>
            <w:fldChar w:fldCharType="begin"/>
          </w:r>
          <w:r>
            <w:instrText xml:space="preserve"> HYPERLINK \l "_Toc164347843" </w:instrText>
          </w:r>
          <w:r>
            <w:fldChar w:fldCharType="separate"/>
          </w:r>
          <w:r>
            <w:t>6.</w:t>
          </w:r>
          <w:r>
            <w:rPr>
              <w:rFonts w:hint="eastAsia"/>
            </w:rPr>
            <w:t>创新创业与专业教育融合发展项目</w:t>
          </w:r>
          <w:r>
            <w:tab/>
          </w:r>
          <w:r>
            <w:fldChar w:fldCharType="begin"/>
          </w:r>
          <w:r>
            <w:instrText xml:space="preserve"> PAGEREF _Toc164347843 \h </w:instrText>
          </w:r>
          <w:r>
            <w:fldChar w:fldCharType="separate"/>
          </w:r>
          <w:r>
            <w:t>90</w:t>
          </w:r>
          <w:r>
            <w:fldChar w:fldCharType="end"/>
          </w:r>
          <w:r>
            <w:fldChar w:fldCharType="end"/>
          </w:r>
        </w:p>
        <w:p>
          <w:pPr>
            <w:pStyle w:val="8"/>
            <w:tabs>
              <w:tab w:val="right" w:leader="dot" w:pos="8296"/>
            </w:tabs>
          </w:pPr>
          <w:r>
            <w:fldChar w:fldCharType="begin"/>
          </w:r>
          <w:r>
            <w:instrText xml:space="preserve"> HYPERLINK \l "_Toc164347844" </w:instrText>
          </w:r>
          <w:r>
            <w:fldChar w:fldCharType="separate"/>
          </w:r>
          <w:r>
            <w:t>7.</w:t>
          </w:r>
          <w:r>
            <w:rPr>
              <w:rFonts w:hint="eastAsia"/>
            </w:rPr>
            <w:t>校院两级教学管理改革项目</w:t>
          </w:r>
          <w:r>
            <w:tab/>
          </w:r>
          <w:r>
            <w:fldChar w:fldCharType="begin"/>
          </w:r>
          <w:r>
            <w:instrText xml:space="preserve"> PAGEREF _Toc164347844 \h </w:instrText>
          </w:r>
          <w:r>
            <w:fldChar w:fldCharType="separate"/>
          </w:r>
          <w:r>
            <w:t>94</w:t>
          </w:r>
          <w:r>
            <w:fldChar w:fldCharType="end"/>
          </w:r>
          <w:r>
            <w:fldChar w:fldCharType="end"/>
          </w:r>
        </w:p>
        <w:p>
          <w:pPr>
            <w:pStyle w:val="8"/>
            <w:tabs>
              <w:tab w:val="right" w:leader="dot" w:pos="8296"/>
            </w:tabs>
          </w:pPr>
          <w:r>
            <w:fldChar w:fldCharType="begin"/>
          </w:r>
          <w:r>
            <w:instrText xml:space="preserve"> HYPERLINK \l "_Toc164347845" </w:instrText>
          </w:r>
          <w:r>
            <w:fldChar w:fldCharType="separate"/>
          </w:r>
          <w:r>
            <w:t>8.</w:t>
          </w:r>
          <w:r>
            <w:rPr>
              <w:rFonts w:hint="eastAsia"/>
            </w:rPr>
            <w:t>教学数字化转型项目</w:t>
          </w:r>
          <w:r>
            <w:tab/>
          </w:r>
          <w:r>
            <w:fldChar w:fldCharType="begin"/>
          </w:r>
          <w:r>
            <w:instrText xml:space="preserve"> PAGEREF _Toc164347845 \h </w:instrText>
          </w:r>
          <w:r>
            <w:fldChar w:fldCharType="separate"/>
          </w:r>
          <w:r>
            <w:t>98</w:t>
          </w:r>
          <w:r>
            <w:fldChar w:fldCharType="end"/>
          </w:r>
          <w:r>
            <w:fldChar w:fldCharType="end"/>
          </w:r>
        </w:p>
        <w:p>
          <w:pPr>
            <w:pStyle w:val="13"/>
            <w:tabs>
              <w:tab w:val="right" w:leader="dot" w:pos="8296"/>
            </w:tabs>
          </w:pPr>
          <w:r>
            <w:fldChar w:fldCharType="begin"/>
          </w:r>
          <w:r>
            <w:instrText xml:space="preserve"> HYPERLINK \l "_Toc164347846" </w:instrText>
          </w:r>
          <w:r>
            <w:fldChar w:fldCharType="separate"/>
          </w:r>
          <w:r>
            <w:rPr>
              <w:rStyle w:val="21"/>
              <w:rFonts w:hint="eastAsia"/>
            </w:rPr>
            <w:t>（四）教师队伍建设项目</w:t>
          </w:r>
          <w:r>
            <w:tab/>
          </w:r>
          <w:r>
            <w:fldChar w:fldCharType="begin"/>
          </w:r>
          <w:r>
            <w:instrText xml:space="preserve"> PAGEREF _Toc164347846 \h </w:instrText>
          </w:r>
          <w:r>
            <w:fldChar w:fldCharType="separate"/>
          </w:r>
          <w:r>
            <w:t>101</w:t>
          </w:r>
          <w:r>
            <w:fldChar w:fldCharType="end"/>
          </w:r>
          <w:r>
            <w:fldChar w:fldCharType="end"/>
          </w:r>
        </w:p>
        <w:p>
          <w:pPr>
            <w:pStyle w:val="8"/>
            <w:tabs>
              <w:tab w:val="right" w:leader="dot" w:pos="8296"/>
            </w:tabs>
          </w:pPr>
          <w:r>
            <w:fldChar w:fldCharType="begin"/>
          </w:r>
          <w:r>
            <w:instrText xml:space="preserve"> HYPERLINK \l "_Toc164347847" </w:instrText>
          </w:r>
          <w:r>
            <w:fldChar w:fldCharType="separate"/>
          </w:r>
          <w:r>
            <w:rPr>
              <w:rStyle w:val="21"/>
            </w:rPr>
            <w:t>1.</w:t>
          </w:r>
          <w:r>
            <w:rPr>
              <w:rStyle w:val="21"/>
              <w:rFonts w:hint="eastAsia"/>
            </w:rPr>
            <w:t>“双师型”专业教师队伍建设项目</w:t>
          </w:r>
          <w:r>
            <w:tab/>
          </w:r>
          <w:r>
            <w:fldChar w:fldCharType="begin"/>
          </w:r>
          <w:r>
            <w:instrText xml:space="preserve"> PAGEREF _Toc164347847 \h </w:instrText>
          </w:r>
          <w:r>
            <w:fldChar w:fldCharType="separate"/>
          </w:r>
          <w:r>
            <w:t>101</w:t>
          </w:r>
          <w:r>
            <w:fldChar w:fldCharType="end"/>
          </w:r>
          <w:r>
            <w:fldChar w:fldCharType="end"/>
          </w:r>
        </w:p>
        <w:p>
          <w:pPr>
            <w:pStyle w:val="8"/>
            <w:tabs>
              <w:tab w:val="right" w:leader="dot" w:pos="8296"/>
            </w:tabs>
          </w:pPr>
          <w:r>
            <w:fldChar w:fldCharType="begin"/>
          </w:r>
          <w:r>
            <w:instrText xml:space="preserve"> HYPERLINK \l "_Toc164347848" </w:instrText>
          </w:r>
          <w:r>
            <w:fldChar w:fldCharType="separate"/>
          </w:r>
          <w:r>
            <w:rPr>
              <w:rStyle w:val="21"/>
            </w:rPr>
            <w:t>2.</w:t>
          </w:r>
          <w:r>
            <w:rPr>
              <w:rStyle w:val="21"/>
              <w:rFonts w:hint="eastAsia"/>
            </w:rPr>
            <w:t>专任教师实践锻炼和兼职教师队伍建设项目</w:t>
          </w:r>
          <w:r>
            <w:tab/>
          </w:r>
          <w:r>
            <w:fldChar w:fldCharType="begin"/>
          </w:r>
          <w:r>
            <w:instrText xml:space="preserve"> PAGEREF _Toc164347848 \h </w:instrText>
          </w:r>
          <w:r>
            <w:fldChar w:fldCharType="separate"/>
          </w:r>
          <w:r>
            <w:t>104</w:t>
          </w:r>
          <w:r>
            <w:fldChar w:fldCharType="end"/>
          </w:r>
          <w:r>
            <w:fldChar w:fldCharType="end"/>
          </w:r>
        </w:p>
        <w:p>
          <w:pPr>
            <w:pStyle w:val="8"/>
            <w:tabs>
              <w:tab w:val="right" w:leader="dot" w:pos="8296"/>
            </w:tabs>
          </w:pPr>
          <w:r>
            <w:fldChar w:fldCharType="begin"/>
          </w:r>
          <w:r>
            <w:instrText xml:space="preserve"> HYPERLINK \l "_Toc164347849" </w:instrText>
          </w:r>
          <w:r>
            <w:fldChar w:fldCharType="separate"/>
          </w:r>
          <w:r>
            <w:rPr>
              <w:rStyle w:val="21"/>
            </w:rPr>
            <w:t>3.</w:t>
          </w:r>
          <w:r>
            <w:rPr>
              <w:rStyle w:val="21"/>
              <w:rFonts w:hint="eastAsia"/>
            </w:rPr>
            <w:t>教职工师德师风和教师发展制度建设项目</w:t>
          </w:r>
          <w:r>
            <w:tab/>
          </w:r>
          <w:r>
            <w:fldChar w:fldCharType="begin"/>
          </w:r>
          <w:r>
            <w:instrText xml:space="preserve"> PAGEREF _Toc164347849 \h </w:instrText>
          </w:r>
          <w:r>
            <w:fldChar w:fldCharType="separate"/>
          </w:r>
          <w:r>
            <w:t>108</w:t>
          </w:r>
          <w:r>
            <w:fldChar w:fldCharType="end"/>
          </w:r>
          <w:r>
            <w:fldChar w:fldCharType="end"/>
          </w:r>
        </w:p>
        <w:p>
          <w:pPr>
            <w:pStyle w:val="8"/>
            <w:tabs>
              <w:tab w:val="right" w:leader="dot" w:pos="8296"/>
            </w:tabs>
          </w:pPr>
          <w:r>
            <w:fldChar w:fldCharType="begin"/>
          </w:r>
          <w:r>
            <w:instrText xml:space="preserve"> HYPERLINK \l "_Toc164347850" </w:instrText>
          </w:r>
          <w:r>
            <w:fldChar w:fldCharType="separate"/>
          </w:r>
          <w:r>
            <w:rPr>
              <w:rStyle w:val="21"/>
            </w:rPr>
            <w:t>4.</w:t>
          </w:r>
          <w:r>
            <w:rPr>
              <w:rStyle w:val="21"/>
              <w:rFonts w:hint="eastAsia"/>
            </w:rPr>
            <w:t>教职工绩效工资制度改革项目</w:t>
          </w:r>
          <w:r>
            <w:tab/>
          </w:r>
          <w:r>
            <w:fldChar w:fldCharType="begin"/>
          </w:r>
          <w:r>
            <w:instrText xml:space="preserve"> PAGEREF _Toc164347850 \h </w:instrText>
          </w:r>
          <w:r>
            <w:fldChar w:fldCharType="separate"/>
          </w:r>
          <w:r>
            <w:t>112</w:t>
          </w:r>
          <w:r>
            <w:fldChar w:fldCharType="end"/>
          </w:r>
          <w:r>
            <w:fldChar w:fldCharType="end"/>
          </w:r>
        </w:p>
        <w:p>
          <w:pPr>
            <w:pStyle w:val="13"/>
            <w:tabs>
              <w:tab w:val="right" w:leader="dot" w:pos="8296"/>
            </w:tabs>
          </w:pPr>
          <w:r>
            <w:fldChar w:fldCharType="begin"/>
          </w:r>
          <w:r>
            <w:instrText xml:space="preserve"> HYPERLINK \l "_Toc164347851" </w:instrText>
          </w:r>
          <w:r>
            <w:fldChar w:fldCharType="separate"/>
          </w:r>
          <w:r>
            <w:rPr>
              <w:rStyle w:val="21"/>
              <w:rFonts w:hint="eastAsia"/>
            </w:rPr>
            <w:t>（五）科学研究和社会服务项目</w:t>
          </w:r>
          <w:r>
            <w:tab/>
          </w:r>
          <w:r>
            <w:fldChar w:fldCharType="begin"/>
          </w:r>
          <w:r>
            <w:instrText xml:space="preserve"> PAGEREF _Toc164347851 \h </w:instrText>
          </w:r>
          <w:r>
            <w:fldChar w:fldCharType="separate"/>
          </w:r>
          <w:r>
            <w:t>115</w:t>
          </w:r>
          <w:r>
            <w:fldChar w:fldCharType="end"/>
          </w:r>
          <w:r>
            <w:fldChar w:fldCharType="end"/>
          </w:r>
        </w:p>
        <w:p>
          <w:pPr>
            <w:pStyle w:val="8"/>
            <w:tabs>
              <w:tab w:val="right" w:leader="dot" w:pos="8296"/>
            </w:tabs>
          </w:pPr>
          <w:r>
            <w:fldChar w:fldCharType="begin"/>
          </w:r>
          <w:r>
            <w:instrText xml:space="preserve"> HYPERLINK \l "_Toc164347852" </w:instrText>
          </w:r>
          <w:r>
            <w:fldChar w:fldCharType="separate"/>
          </w:r>
          <w:r>
            <w:rPr>
              <w:rStyle w:val="21"/>
            </w:rPr>
            <w:t>1.</w:t>
          </w:r>
          <w:r>
            <w:rPr>
              <w:rStyle w:val="21"/>
              <w:rFonts w:hint="eastAsia"/>
            </w:rPr>
            <w:t>科研创新，提升办学综合实力项目</w:t>
          </w:r>
          <w:r>
            <w:tab/>
          </w:r>
          <w:r>
            <w:fldChar w:fldCharType="begin"/>
          </w:r>
          <w:r>
            <w:instrText xml:space="preserve"> PAGEREF _Toc164347852 \h </w:instrText>
          </w:r>
          <w:r>
            <w:fldChar w:fldCharType="separate"/>
          </w:r>
          <w:r>
            <w:t>115</w:t>
          </w:r>
          <w:r>
            <w:fldChar w:fldCharType="end"/>
          </w:r>
          <w:r>
            <w:fldChar w:fldCharType="end"/>
          </w:r>
        </w:p>
        <w:p>
          <w:pPr>
            <w:pStyle w:val="8"/>
            <w:tabs>
              <w:tab w:val="right" w:leader="dot" w:pos="8296"/>
            </w:tabs>
          </w:pPr>
          <w:r>
            <w:fldChar w:fldCharType="begin"/>
          </w:r>
          <w:r>
            <w:instrText xml:space="preserve"> HYPERLINK \l "_Toc164347853" </w:instrText>
          </w:r>
          <w:r>
            <w:fldChar w:fldCharType="separate"/>
          </w:r>
          <w:r>
            <w:t>2.</w:t>
          </w:r>
          <w:r>
            <w:rPr>
              <w:rFonts w:hint="eastAsia"/>
            </w:rPr>
            <w:t>非学历培训建设项目</w:t>
          </w:r>
          <w:r>
            <w:tab/>
          </w:r>
          <w:r>
            <w:fldChar w:fldCharType="begin"/>
          </w:r>
          <w:r>
            <w:instrText xml:space="preserve"> PAGEREF _Toc164347853 \h </w:instrText>
          </w:r>
          <w:r>
            <w:fldChar w:fldCharType="separate"/>
          </w:r>
          <w:r>
            <w:t>119</w:t>
          </w:r>
          <w:r>
            <w:fldChar w:fldCharType="end"/>
          </w:r>
          <w:r>
            <w:fldChar w:fldCharType="end"/>
          </w:r>
        </w:p>
        <w:p>
          <w:pPr>
            <w:pStyle w:val="8"/>
            <w:tabs>
              <w:tab w:val="right" w:leader="dot" w:pos="8296"/>
            </w:tabs>
          </w:pPr>
          <w:r>
            <w:fldChar w:fldCharType="begin"/>
          </w:r>
          <w:r>
            <w:instrText xml:space="preserve"> HYPERLINK \l "_Toc164347854" </w:instrText>
          </w:r>
          <w:r>
            <w:fldChar w:fldCharType="separate"/>
          </w:r>
          <w:r>
            <w:t>3.</w:t>
          </w:r>
          <w:r>
            <w:rPr>
              <w:rFonts w:hint="eastAsia"/>
            </w:rPr>
            <w:t>东西部教育协作与省内结对帮扶项目</w:t>
          </w:r>
          <w:r>
            <w:tab/>
          </w:r>
          <w:r>
            <w:fldChar w:fldCharType="begin"/>
          </w:r>
          <w:r>
            <w:instrText xml:space="preserve"> PAGEREF _Toc164347854 \h </w:instrText>
          </w:r>
          <w:r>
            <w:fldChar w:fldCharType="separate"/>
          </w:r>
          <w:r>
            <w:t>122</w:t>
          </w:r>
          <w:r>
            <w:fldChar w:fldCharType="end"/>
          </w:r>
          <w:r>
            <w:fldChar w:fldCharType="end"/>
          </w:r>
        </w:p>
        <w:p>
          <w:pPr>
            <w:pStyle w:val="8"/>
            <w:tabs>
              <w:tab w:val="right" w:leader="dot" w:pos="8296"/>
            </w:tabs>
          </w:pPr>
          <w:r>
            <w:fldChar w:fldCharType="begin"/>
          </w:r>
          <w:r>
            <w:instrText xml:space="preserve"> HYPERLINK \l "_Toc164347855" </w:instrText>
          </w:r>
          <w:r>
            <w:fldChar w:fldCharType="separate"/>
          </w:r>
          <w:r>
            <w:t>4.</w:t>
          </w:r>
          <w:r>
            <w:rPr>
              <w:rFonts w:hint="eastAsia"/>
            </w:rPr>
            <w:t>服务区域发展战略项目</w:t>
          </w:r>
          <w:r>
            <w:tab/>
          </w:r>
          <w:r>
            <w:fldChar w:fldCharType="begin"/>
          </w:r>
          <w:r>
            <w:instrText xml:space="preserve"> PAGEREF _Toc164347855 \h </w:instrText>
          </w:r>
          <w:r>
            <w:fldChar w:fldCharType="separate"/>
          </w:r>
          <w:r>
            <w:t>126</w:t>
          </w:r>
          <w:r>
            <w:fldChar w:fldCharType="end"/>
          </w:r>
          <w:r>
            <w:fldChar w:fldCharType="end"/>
          </w:r>
        </w:p>
        <w:p>
          <w:pPr>
            <w:pStyle w:val="13"/>
            <w:tabs>
              <w:tab w:val="right" w:leader="dot" w:pos="8296"/>
            </w:tabs>
          </w:pPr>
          <w:r>
            <w:fldChar w:fldCharType="begin"/>
          </w:r>
          <w:r>
            <w:instrText xml:space="preserve"> HYPERLINK \l "_Toc164347856" </w:instrText>
          </w:r>
          <w:r>
            <w:fldChar w:fldCharType="separate"/>
          </w:r>
          <w:r>
            <w:rPr>
              <w:rStyle w:val="21"/>
              <w:rFonts w:hint="eastAsia"/>
            </w:rPr>
            <w:t>（六）产教融合、校企合作项目</w:t>
          </w:r>
          <w:r>
            <w:tab/>
          </w:r>
          <w:r>
            <w:fldChar w:fldCharType="begin"/>
          </w:r>
          <w:r>
            <w:instrText xml:space="preserve"> PAGEREF _Toc164347856 \h </w:instrText>
          </w:r>
          <w:r>
            <w:fldChar w:fldCharType="separate"/>
          </w:r>
          <w:r>
            <w:t>130</w:t>
          </w:r>
          <w:r>
            <w:fldChar w:fldCharType="end"/>
          </w:r>
          <w:r>
            <w:fldChar w:fldCharType="end"/>
          </w:r>
        </w:p>
        <w:p>
          <w:pPr>
            <w:pStyle w:val="8"/>
            <w:tabs>
              <w:tab w:val="right" w:leader="dot" w:pos="8296"/>
            </w:tabs>
          </w:pPr>
          <w:r>
            <w:fldChar w:fldCharType="begin"/>
          </w:r>
          <w:r>
            <w:instrText xml:space="preserve"> HYPERLINK \l "_Toc164347857" </w:instrText>
          </w:r>
          <w:r>
            <w:fldChar w:fldCharType="separate"/>
          </w:r>
          <w:r>
            <w:rPr>
              <w:rStyle w:val="21"/>
            </w:rPr>
            <w:t>1.</w:t>
          </w:r>
          <w:r>
            <w:rPr>
              <w:rStyle w:val="21"/>
              <w:rFonts w:hint="eastAsia"/>
            </w:rPr>
            <w:t>产教联合体和产业学院建设项目</w:t>
          </w:r>
          <w:r>
            <w:tab/>
          </w:r>
          <w:r>
            <w:fldChar w:fldCharType="begin"/>
          </w:r>
          <w:r>
            <w:instrText xml:space="preserve"> PAGEREF _Toc164347857 \h </w:instrText>
          </w:r>
          <w:r>
            <w:fldChar w:fldCharType="separate"/>
          </w:r>
          <w:r>
            <w:t>130</w:t>
          </w:r>
          <w:r>
            <w:fldChar w:fldCharType="end"/>
          </w:r>
          <w:r>
            <w:fldChar w:fldCharType="end"/>
          </w:r>
        </w:p>
        <w:p>
          <w:pPr>
            <w:pStyle w:val="8"/>
            <w:tabs>
              <w:tab w:val="right" w:leader="dot" w:pos="8296"/>
            </w:tabs>
          </w:pPr>
          <w:r>
            <w:fldChar w:fldCharType="begin"/>
          </w:r>
          <w:r>
            <w:instrText xml:space="preserve"> HYPERLINK \l "_Toc164347858" </w:instrText>
          </w:r>
          <w:r>
            <w:fldChar w:fldCharType="separate"/>
          </w:r>
          <w:r>
            <w:rPr>
              <w:rStyle w:val="21"/>
            </w:rPr>
            <w:t>2.</w:t>
          </w:r>
          <w:r>
            <w:rPr>
              <w:rStyle w:val="21"/>
              <w:rFonts w:hint="eastAsia"/>
            </w:rPr>
            <w:t>开放型区域产教融合实践中心项目</w:t>
          </w:r>
          <w:r>
            <w:tab/>
          </w:r>
          <w:r>
            <w:fldChar w:fldCharType="begin"/>
          </w:r>
          <w:r>
            <w:instrText xml:space="preserve"> PAGEREF _Toc164347858 \h </w:instrText>
          </w:r>
          <w:r>
            <w:fldChar w:fldCharType="separate"/>
          </w:r>
          <w:r>
            <w:t>134</w:t>
          </w:r>
          <w:r>
            <w:fldChar w:fldCharType="end"/>
          </w:r>
          <w:r>
            <w:fldChar w:fldCharType="end"/>
          </w:r>
        </w:p>
        <w:p>
          <w:pPr>
            <w:pStyle w:val="13"/>
            <w:tabs>
              <w:tab w:val="right" w:leader="dot" w:pos="8296"/>
            </w:tabs>
          </w:pPr>
          <w:r>
            <w:fldChar w:fldCharType="begin"/>
          </w:r>
          <w:r>
            <w:instrText xml:space="preserve"> HYPERLINK \l "_Toc164347859" </w:instrText>
          </w:r>
          <w:r>
            <w:fldChar w:fldCharType="separate"/>
          </w:r>
          <w:r>
            <w:rPr>
              <w:rStyle w:val="21"/>
              <w:rFonts w:hint="eastAsia"/>
            </w:rPr>
            <w:t>（七）数字校园建设项目</w:t>
          </w:r>
          <w:r>
            <w:tab/>
          </w:r>
          <w:r>
            <w:fldChar w:fldCharType="begin"/>
          </w:r>
          <w:r>
            <w:instrText xml:space="preserve"> PAGEREF _Toc164347859 \h </w:instrText>
          </w:r>
          <w:r>
            <w:fldChar w:fldCharType="separate"/>
          </w:r>
          <w:r>
            <w:t>139</w:t>
          </w:r>
          <w:r>
            <w:fldChar w:fldCharType="end"/>
          </w:r>
          <w:r>
            <w:fldChar w:fldCharType="end"/>
          </w:r>
        </w:p>
        <w:p>
          <w:pPr>
            <w:pStyle w:val="13"/>
            <w:tabs>
              <w:tab w:val="right" w:leader="dot" w:pos="8296"/>
            </w:tabs>
          </w:pPr>
          <w:r>
            <w:fldChar w:fldCharType="begin"/>
          </w:r>
          <w:r>
            <w:instrText xml:space="preserve"> HYPERLINK \l "_Toc164347860" </w:instrText>
          </w:r>
          <w:r>
            <w:fldChar w:fldCharType="separate"/>
          </w:r>
          <w:r>
            <w:rPr>
              <w:rStyle w:val="21"/>
              <w:rFonts w:hint="eastAsia"/>
            </w:rPr>
            <w:t>（八）对外交流与合作项目</w:t>
          </w:r>
          <w:r>
            <w:tab/>
          </w:r>
          <w:r>
            <w:fldChar w:fldCharType="begin"/>
          </w:r>
          <w:r>
            <w:instrText xml:space="preserve"> PAGEREF _Toc164347860 \h </w:instrText>
          </w:r>
          <w:r>
            <w:fldChar w:fldCharType="separate"/>
          </w:r>
          <w:r>
            <w:t>143</w:t>
          </w:r>
          <w:r>
            <w:fldChar w:fldCharType="end"/>
          </w:r>
          <w:r>
            <w:fldChar w:fldCharType="end"/>
          </w:r>
        </w:p>
        <w:p>
          <w:pPr>
            <w:pStyle w:val="13"/>
            <w:tabs>
              <w:tab w:val="right" w:leader="dot" w:pos="8296"/>
            </w:tabs>
          </w:pPr>
          <w:r>
            <w:fldChar w:fldCharType="begin"/>
          </w:r>
          <w:r>
            <w:instrText xml:space="preserve"> HYPERLINK \l "_Toc164347861" </w:instrText>
          </w:r>
          <w:r>
            <w:fldChar w:fldCharType="separate"/>
          </w:r>
          <w:r>
            <w:rPr>
              <w:rStyle w:val="21"/>
              <w:rFonts w:hint="eastAsia"/>
            </w:rPr>
            <w:t>（九）自选项目</w:t>
          </w:r>
          <w:r>
            <w:tab/>
          </w:r>
          <w:r>
            <w:fldChar w:fldCharType="begin"/>
          </w:r>
          <w:r>
            <w:instrText xml:space="preserve"> PAGEREF _Toc164347861 \h </w:instrText>
          </w:r>
          <w:r>
            <w:fldChar w:fldCharType="separate"/>
          </w:r>
          <w:r>
            <w:t>147</w:t>
          </w:r>
          <w:r>
            <w:fldChar w:fldCharType="end"/>
          </w:r>
          <w:r>
            <w:fldChar w:fldCharType="end"/>
          </w:r>
        </w:p>
        <w:p>
          <w:pPr>
            <w:pStyle w:val="8"/>
            <w:tabs>
              <w:tab w:val="right" w:leader="dot" w:pos="8296"/>
            </w:tabs>
          </w:pPr>
          <w:r>
            <w:fldChar w:fldCharType="begin"/>
          </w:r>
          <w:r>
            <w:instrText xml:space="preserve"> HYPERLINK \l "_Toc164347862" </w:instrText>
          </w:r>
          <w:r>
            <w:fldChar w:fldCharType="separate"/>
          </w:r>
          <w:r>
            <w:rPr>
              <w:rStyle w:val="21"/>
            </w:rPr>
            <w:t>1.</w:t>
          </w:r>
          <w:r>
            <w:rPr>
              <w:rStyle w:val="21"/>
              <w:rFonts w:hint="eastAsia"/>
            </w:rPr>
            <w:t>践行习近平文化思想，红色文化融入育人实践项目</w:t>
          </w:r>
          <w:r>
            <w:tab/>
          </w:r>
          <w:r>
            <w:fldChar w:fldCharType="begin"/>
          </w:r>
          <w:r>
            <w:instrText xml:space="preserve"> PAGEREF _Toc164347862 \h </w:instrText>
          </w:r>
          <w:r>
            <w:fldChar w:fldCharType="separate"/>
          </w:r>
          <w:r>
            <w:t>147</w:t>
          </w:r>
          <w:r>
            <w:fldChar w:fldCharType="end"/>
          </w:r>
          <w:r>
            <w:fldChar w:fldCharType="end"/>
          </w:r>
        </w:p>
        <w:p>
          <w:pPr>
            <w:pStyle w:val="8"/>
            <w:tabs>
              <w:tab w:val="right" w:leader="dot" w:pos="8296"/>
            </w:tabs>
          </w:pPr>
          <w:r>
            <w:fldChar w:fldCharType="begin"/>
          </w:r>
          <w:r>
            <w:instrText xml:space="preserve"> HYPERLINK \l "_Toc164347863" </w:instrText>
          </w:r>
          <w:r>
            <w:fldChar w:fldCharType="separate"/>
          </w:r>
          <w:r>
            <w:rPr>
              <w:rStyle w:val="21"/>
            </w:rPr>
            <w:t>2.</w:t>
          </w:r>
          <w:r>
            <w:rPr>
              <w:rStyle w:val="21"/>
              <w:rFonts w:hint="eastAsia"/>
            </w:rPr>
            <w:t>弘扬爱国主义精神，国防教育文明实践建设项目</w:t>
          </w:r>
          <w:r>
            <w:tab/>
          </w:r>
          <w:r>
            <w:fldChar w:fldCharType="begin"/>
          </w:r>
          <w:r>
            <w:instrText xml:space="preserve"> PAGEREF _Toc164347863 \h </w:instrText>
          </w:r>
          <w:r>
            <w:fldChar w:fldCharType="separate"/>
          </w:r>
          <w:r>
            <w:t>153</w:t>
          </w:r>
          <w:r>
            <w:fldChar w:fldCharType="end"/>
          </w:r>
          <w:r>
            <w:fldChar w:fldCharType="end"/>
          </w:r>
        </w:p>
        <w:p>
          <w:pPr>
            <w:pStyle w:val="12"/>
            <w:tabs>
              <w:tab w:val="right" w:leader="dot" w:pos="8296"/>
            </w:tabs>
            <w:rPr>
              <w:b/>
              <w:bCs/>
            </w:rPr>
          </w:pPr>
          <w:r>
            <w:rPr>
              <w:b/>
              <w:bCs/>
            </w:rPr>
            <w:fldChar w:fldCharType="begin"/>
          </w:r>
          <w:r>
            <w:rPr>
              <w:b/>
              <w:bCs/>
            </w:rPr>
            <w:instrText xml:space="preserve"> HYPERLINK \l "_Toc164347864" </w:instrText>
          </w:r>
          <w:r>
            <w:rPr>
              <w:b/>
              <w:bCs/>
            </w:rPr>
            <w:fldChar w:fldCharType="separate"/>
          </w:r>
          <w:r>
            <w:rPr>
              <w:rStyle w:val="21"/>
              <w:rFonts w:hint="eastAsia"/>
              <w:b/>
              <w:bCs/>
            </w:rPr>
            <w:t>四、经费预算</w:t>
          </w:r>
          <w:r>
            <w:rPr>
              <w:b/>
              <w:bCs/>
            </w:rPr>
            <w:tab/>
          </w:r>
          <w:r>
            <w:rPr>
              <w:b/>
              <w:bCs/>
            </w:rPr>
            <w:fldChar w:fldCharType="begin"/>
          </w:r>
          <w:r>
            <w:rPr>
              <w:b/>
              <w:bCs/>
            </w:rPr>
            <w:instrText xml:space="preserve"> PAGEREF _Toc164347864 \h </w:instrText>
          </w:r>
          <w:r>
            <w:rPr>
              <w:b/>
              <w:bCs/>
            </w:rPr>
            <w:fldChar w:fldCharType="separate"/>
          </w:r>
          <w:r>
            <w:rPr>
              <w:b/>
              <w:bCs/>
            </w:rPr>
            <w:t>159</w:t>
          </w:r>
          <w:r>
            <w:rPr>
              <w:b/>
              <w:bCs/>
            </w:rPr>
            <w:fldChar w:fldCharType="end"/>
          </w:r>
          <w:r>
            <w:rPr>
              <w:b/>
              <w:bCs/>
            </w:rPr>
            <w:fldChar w:fldCharType="end"/>
          </w:r>
        </w:p>
        <w:p>
          <w:pPr>
            <w:pStyle w:val="12"/>
            <w:tabs>
              <w:tab w:val="right" w:leader="dot" w:pos="8296"/>
            </w:tabs>
            <w:rPr>
              <w:b/>
              <w:bCs/>
            </w:rPr>
          </w:pPr>
          <w:r>
            <w:rPr>
              <w:b/>
              <w:bCs/>
            </w:rPr>
            <w:fldChar w:fldCharType="begin"/>
          </w:r>
          <w:r>
            <w:rPr>
              <w:b/>
              <w:bCs/>
            </w:rPr>
            <w:instrText xml:space="preserve"> HYPERLINK \l "_Toc164347865" </w:instrText>
          </w:r>
          <w:r>
            <w:rPr>
              <w:b/>
              <w:bCs/>
            </w:rPr>
            <w:fldChar w:fldCharType="separate"/>
          </w:r>
          <w:r>
            <w:rPr>
              <w:rStyle w:val="21"/>
              <w:rFonts w:hint="eastAsia"/>
              <w:b/>
              <w:bCs/>
            </w:rPr>
            <w:t>五、预期成效</w:t>
          </w:r>
          <w:r>
            <w:rPr>
              <w:b/>
              <w:bCs/>
            </w:rPr>
            <w:tab/>
          </w:r>
          <w:r>
            <w:rPr>
              <w:b/>
              <w:bCs/>
            </w:rPr>
            <w:fldChar w:fldCharType="begin"/>
          </w:r>
          <w:r>
            <w:rPr>
              <w:b/>
              <w:bCs/>
            </w:rPr>
            <w:instrText xml:space="preserve"> PAGEREF _Toc164347865 \h </w:instrText>
          </w:r>
          <w:r>
            <w:rPr>
              <w:b/>
              <w:bCs/>
            </w:rPr>
            <w:fldChar w:fldCharType="separate"/>
          </w:r>
          <w:r>
            <w:rPr>
              <w:b/>
              <w:bCs/>
            </w:rPr>
            <w:t>159</w:t>
          </w:r>
          <w:r>
            <w:rPr>
              <w:b/>
              <w:bCs/>
            </w:rPr>
            <w:fldChar w:fldCharType="end"/>
          </w:r>
          <w:r>
            <w:rPr>
              <w:b/>
              <w:bCs/>
            </w:rPr>
            <w:fldChar w:fldCharType="end"/>
          </w:r>
        </w:p>
        <w:p>
          <w:pPr>
            <w:pStyle w:val="12"/>
            <w:tabs>
              <w:tab w:val="right" w:leader="dot" w:pos="8296"/>
            </w:tabs>
          </w:pPr>
          <w:r>
            <w:rPr>
              <w:b/>
              <w:bCs/>
            </w:rPr>
            <w:fldChar w:fldCharType="begin"/>
          </w:r>
          <w:r>
            <w:rPr>
              <w:b/>
              <w:bCs/>
            </w:rPr>
            <w:instrText xml:space="preserve"> HYPERLINK \l "_Toc164347866" </w:instrText>
          </w:r>
          <w:r>
            <w:rPr>
              <w:b/>
              <w:bCs/>
            </w:rPr>
            <w:fldChar w:fldCharType="separate"/>
          </w:r>
          <w:r>
            <w:rPr>
              <w:rStyle w:val="21"/>
              <w:rFonts w:hint="eastAsia"/>
              <w:b/>
              <w:bCs/>
            </w:rPr>
            <w:t>六、保障措施</w:t>
          </w:r>
          <w:r>
            <w:rPr>
              <w:b/>
              <w:bCs/>
            </w:rPr>
            <w:tab/>
          </w:r>
          <w:r>
            <w:rPr>
              <w:b/>
              <w:bCs/>
            </w:rPr>
            <w:fldChar w:fldCharType="begin"/>
          </w:r>
          <w:r>
            <w:rPr>
              <w:b/>
              <w:bCs/>
            </w:rPr>
            <w:instrText xml:space="preserve"> PAGEREF _Toc164347866 \h </w:instrText>
          </w:r>
          <w:r>
            <w:rPr>
              <w:b/>
              <w:bCs/>
            </w:rPr>
            <w:fldChar w:fldCharType="separate"/>
          </w:r>
          <w:r>
            <w:rPr>
              <w:b/>
              <w:bCs/>
            </w:rPr>
            <w:t>161</w:t>
          </w:r>
          <w:r>
            <w:rPr>
              <w:b/>
              <w:bCs/>
            </w:rPr>
            <w:fldChar w:fldCharType="end"/>
          </w:r>
          <w:r>
            <w:rPr>
              <w:b/>
              <w:bCs/>
            </w:rPr>
            <w:fldChar w:fldCharType="end"/>
          </w:r>
        </w:p>
        <w:p>
          <w:pPr>
            <w:pStyle w:val="13"/>
            <w:tabs>
              <w:tab w:val="right" w:leader="dot" w:pos="8296"/>
            </w:tabs>
          </w:pPr>
          <w:r>
            <w:fldChar w:fldCharType="begin"/>
          </w:r>
          <w:r>
            <w:instrText xml:space="preserve"> HYPERLINK \l "_Toc164347867" </w:instrText>
          </w:r>
          <w:r>
            <w:fldChar w:fldCharType="separate"/>
          </w:r>
          <w:r>
            <w:rPr>
              <w:rStyle w:val="21"/>
              <w:rFonts w:hint="eastAsia"/>
            </w:rPr>
            <w:t>（一）组织保障</w:t>
          </w:r>
          <w:r>
            <w:tab/>
          </w:r>
          <w:r>
            <w:fldChar w:fldCharType="begin"/>
          </w:r>
          <w:r>
            <w:instrText xml:space="preserve"> PAGEREF _Toc164347867 \h </w:instrText>
          </w:r>
          <w:r>
            <w:fldChar w:fldCharType="separate"/>
          </w:r>
          <w:r>
            <w:t>161</w:t>
          </w:r>
          <w:r>
            <w:fldChar w:fldCharType="end"/>
          </w:r>
          <w:r>
            <w:fldChar w:fldCharType="end"/>
          </w:r>
        </w:p>
        <w:p>
          <w:pPr>
            <w:pStyle w:val="13"/>
            <w:tabs>
              <w:tab w:val="right" w:leader="dot" w:pos="8296"/>
            </w:tabs>
          </w:pPr>
          <w:r>
            <w:fldChar w:fldCharType="begin"/>
          </w:r>
          <w:r>
            <w:instrText xml:space="preserve"> HYPERLINK \l "_Toc164347868" </w:instrText>
          </w:r>
          <w:r>
            <w:fldChar w:fldCharType="separate"/>
          </w:r>
          <w:r>
            <w:rPr>
              <w:rStyle w:val="21"/>
              <w:rFonts w:hint="eastAsia"/>
            </w:rPr>
            <w:t>（二）加强项目实施管理</w:t>
          </w:r>
          <w:r>
            <w:tab/>
          </w:r>
          <w:r>
            <w:fldChar w:fldCharType="begin"/>
          </w:r>
          <w:r>
            <w:instrText xml:space="preserve"> PAGEREF _Toc164347868 \h </w:instrText>
          </w:r>
          <w:r>
            <w:fldChar w:fldCharType="separate"/>
          </w:r>
          <w:r>
            <w:t>161</w:t>
          </w:r>
          <w:r>
            <w:fldChar w:fldCharType="end"/>
          </w:r>
          <w:r>
            <w:fldChar w:fldCharType="end"/>
          </w:r>
        </w:p>
        <w:p>
          <w:pPr>
            <w:pStyle w:val="13"/>
            <w:tabs>
              <w:tab w:val="right" w:leader="dot" w:pos="8296"/>
            </w:tabs>
          </w:pPr>
          <w:r>
            <w:fldChar w:fldCharType="begin"/>
          </w:r>
          <w:r>
            <w:instrText xml:space="preserve"> HYPERLINK \l "_Toc164347869" </w:instrText>
          </w:r>
          <w:r>
            <w:fldChar w:fldCharType="separate"/>
          </w:r>
          <w:r>
            <w:rPr>
              <w:rStyle w:val="21"/>
              <w:rFonts w:hint="eastAsia"/>
            </w:rPr>
            <w:t>（三）健全多元投入机制</w:t>
          </w:r>
          <w:r>
            <w:tab/>
          </w:r>
          <w:r>
            <w:fldChar w:fldCharType="begin"/>
          </w:r>
          <w:r>
            <w:instrText xml:space="preserve"> PAGEREF _Toc164347869 \h </w:instrText>
          </w:r>
          <w:r>
            <w:fldChar w:fldCharType="separate"/>
          </w:r>
          <w:r>
            <w:t>161</w:t>
          </w:r>
          <w:r>
            <w:fldChar w:fldCharType="end"/>
          </w:r>
          <w:r>
            <w:fldChar w:fldCharType="end"/>
          </w:r>
        </w:p>
        <w:p>
          <w:pPr>
            <w:pStyle w:val="13"/>
            <w:tabs>
              <w:tab w:val="right" w:leader="dot" w:pos="8296"/>
            </w:tabs>
          </w:pPr>
          <w:r>
            <w:fldChar w:fldCharType="begin"/>
          </w:r>
          <w:r>
            <w:instrText xml:space="preserve"> HYPERLINK \l "_Toc164347870" </w:instrText>
          </w:r>
          <w:r>
            <w:fldChar w:fldCharType="separate"/>
          </w:r>
          <w:r>
            <w:rPr>
              <w:rStyle w:val="21"/>
              <w:rFonts w:hint="eastAsia"/>
            </w:rPr>
            <w:t>（四）强化基础设施保障</w:t>
          </w:r>
          <w:r>
            <w:tab/>
          </w:r>
          <w:r>
            <w:fldChar w:fldCharType="begin"/>
          </w:r>
          <w:r>
            <w:instrText xml:space="preserve"> PAGEREF _Toc164347870 \h </w:instrText>
          </w:r>
          <w:r>
            <w:fldChar w:fldCharType="separate"/>
          </w:r>
          <w:r>
            <w:t>161</w:t>
          </w:r>
          <w:r>
            <w:fldChar w:fldCharType="end"/>
          </w:r>
          <w:r>
            <w:fldChar w:fldCharType="end"/>
          </w:r>
        </w:p>
        <w:p>
          <w:pPr>
            <w:pStyle w:val="13"/>
            <w:tabs>
              <w:tab w:val="right" w:leader="dot" w:pos="8296"/>
            </w:tabs>
          </w:pPr>
          <w:r>
            <w:fldChar w:fldCharType="begin"/>
          </w:r>
          <w:r>
            <w:instrText xml:space="preserve"> HYPERLINK \l "_Toc164347871" </w:instrText>
          </w:r>
          <w:r>
            <w:fldChar w:fldCharType="separate"/>
          </w:r>
          <w:r>
            <w:rPr>
              <w:rStyle w:val="21"/>
              <w:rFonts w:hint="eastAsia"/>
            </w:rPr>
            <w:t>（五）优化改革发展环境</w:t>
          </w:r>
          <w:r>
            <w:tab/>
          </w:r>
          <w:r>
            <w:fldChar w:fldCharType="begin"/>
          </w:r>
          <w:r>
            <w:instrText xml:space="preserve"> PAGEREF _Toc164347871 \h </w:instrText>
          </w:r>
          <w:r>
            <w:fldChar w:fldCharType="separate"/>
          </w:r>
          <w:r>
            <w:t>162</w:t>
          </w:r>
          <w:r>
            <w:fldChar w:fldCharType="end"/>
          </w:r>
          <w:r>
            <w:fldChar w:fldCharType="end"/>
          </w:r>
        </w:p>
        <w:p>
          <w:pPr>
            <w:pStyle w:val="13"/>
            <w:tabs>
              <w:tab w:val="right" w:leader="dot" w:pos="8296"/>
            </w:tabs>
          </w:pPr>
          <w:r>
            <w:fldChar w:fldCharType="begin"/>
          </w:r>
          <w:r>
            <w:instrText xml:space="preserve"> HYPERLINK \l "_Toc164347872" </w:instrText>
          </w:r>
          <w:r>
            <w:fldChar w:fldCharType="separate"/>
          </w:r>
          <w:r>
            <w:rPr>
              <w:rStyle w:val="21"/>
              <w:rFonts w:hint="eastAsia"/>
            </w:rPr>
            <w:t>（六）经费保障</w:t>
          </w:r>
          <w:r>
            <w:tab/>
          </w:r>
          <w:r>
            <w:fldChar w:fldCharType="begin"/>
          </w:r>
          <w:r>
            <w:instrText xml:space="preserve"> PAGEREF _Toc164347872 \h </w:instrText>
          </w:r>
          <w:r>
            <w:fldChar w:fldCharType="separate"/>
          </w:r>
          <w:r>
            <w:t>162</w:t>
          </w:r>
          <w:r>
            <w:fldChar w:fldCharType="end"/>
          </w:r>
          <w:r>
            <w:fldChar w:fldCharType="end"/>
          </w:r>
        </w:p>
        <w:p>
          <w:pPr>
            <w:pStyle w:val="12"/>
            <w:tabs>
              <w:tab w:val="right" w:leader="dot" w:pos="8296"/>
            </w:tabs>
            <w:rPr>
              <w:rStyle w:val="21"/>
              <w:rFonts w:hint="eastAsia" w:ascii="Times New Roman" w:hAnsi="Times New Roman" w:eastAsia="宋体" w:cs="Times New Roman"/>
              <w:b/>
              <w:bCs/>
            </w:rPr>
          </w:pPr>
          <w:r>
            <w:rPr>
              <w:rStyle w:val="21"/>
              <w:rFonts w:hint="eastAsia" w:ascii="Times New Roman" w:hAnsi="Times New Roman" w:eastAsia="宋体" w:cs="Times New Roman"/>
              <w:b/>
              <w:bCs/>
            </w:rPr>
            <w:fldChar w:fldCharType="begin"/>
          </w:r>
          <w:r>
            <w:rPr>
              <w:rStyle w:val="21"/>
              <w:rFonts w:hint="eastAsia" w:ascii="Times New Roman" w:hAnsi="Times New Roman" w:eastAsia="宋体" w:cs="Times New Roman"/>
              <w:b/>
              <w:bCs/>
            </w:rPr>
            <w:instrText xml:space="preserve"> HYPERLINK \l "_Toc164347873" </w:instrText>
          </w:r>
          <w:r>
            <w:rPr>
              <w:rStyle w:val="21"/>
              <w:rFonts w:hint="eastAsia" w:ascii="Times New Roman" w:hAnsi="Times New Roman" w:eastAsia="宋体" w:cs="Times New Roman"/>
              <w:b/>
              <w:bCs/>
            </w:rPr>
            <w:fldChar w:fldCharType="separate"/>
          </w:r>
          <w:r>
            <w:rPr>
              <w:rStyle w:val="21"/>
              <w:rFonts w:hint="eastAsia" w:ascii="Times New Roman" w:hAnsi="Times New Roman" w:eastAsia="宋体" w:cs="Times New Roman"/>
              <w:b/>
              <w:bCs/>
            </w:rPr>
            <w:t>七、附表</w:t>
          </w:r>
          <w:r>
            <w:rPr>
              <w:rStyle w:val="21"/>
              <w:rFonts w:hint="eastAsia" w:ascii="Times New Roman" w:hAnsi="Times New Roman" w:eastAsia="宋体" w:cs="Times New Roman"/>
              <w:b/>
              <w:bCs/>
            </w:rPr>
            <w:tab/>
          </w:r>
          <w:r>
            <w:rPr>
              <w:rStyle w:val="21"/>
              <w:rFonts w:hint="eastAsia" w:ascii="Times New Roman" w:hAnsi="Times New Roman" w:eastAsia="宋体" w:cs="Times New Roman"/>
              <w:b/>
              <w:bCs/>
            </w:rPr>
            <w:fldChar w:fldCharType="begin"/>
          </w:r>
          <w:r>
            <w:rPr>
              <w:rStyle w:val="21"/>
              <w:rFonts w:hint="eastAsia" w:ascii="Times New Roman" w:hAnsi="Times New Roman" w:eastAsia="宋体" w:cs="Times New Roman"/>
              <w:b/>
              <w:bCs/>
            </w:rPr>
            <w:instrText xml:space="preserve"> PAGEREF _Toc164347873 \h </w:instrText>
          </w:r>
          <w:r>
            <w:rPr>
              <w:rStyle w:val="21"/>
              <w:rFonts w:hint="eastAsia" w:ascii="Times New Roman" w:hAnsi="Times New Roman" w:eastAsia="宋体" w:cs="Times New Roman"/>
              <w:b/>
              <w:bCs/>
            </w:rPr>
            <w:fldChar w:fldCharType="separate"/>
          </w:r>
          <w:r>
            <w:rPr>
              <w:rStyle w:val="21"/>
              <w:rFonts w:hint="eastAsia" w:ascii="Times New Roman" w:hAnsi="Times New Roman" w:eastAsia="宋体" w:cs="Times New Roman"/>
              <w:b/>
              <w:bCs/>
            </w:rPr>
            <w:t>163</w:t>
          </w:r>
          <w:r>
            <w:rPr>
              <w:rStyle w:val="21"/>
              <w:rFonts w:hint="eastAsia" w:ascii="Times New Roman" w:hAnsi="Times New Roman" w:eastAsia="宋体" w:cs="Times New Roman"/>
              <w:b/>
              <w:bCs/>
            </w:rPr>
            <w:fldChar w:fldCharType="end"/>
          </w:r>
          <w:r>
            <w:rPr>
              <w:rStyle w:val="21"/>
              <w:rFonts w:hint="eastAsia" w:ascii="Times New Roman" w:hAnsi="Times New Roman" w:eastAsia="宋体" w:cs="Times New Roman"/>
              <w:b/>
              <w:bCs/>
            </w:rPr>
            <w:fldChar w:fldCharType="end"/>
          </w:r>
        </w:p>
        <w:p>
          <w:pPr>
            <w:spacing w:line="360" w:lineRule="exact"/>
            <w:ind w:firstLine="275" w:firstLineChars="131"/>
            <w:rPr>
              <w:rFonts w:ascii="黑体" w:hAnsi="黑体" w:eastAsia="黑体" w:cs="黑体"/>
              <w:bCs/>
              <w:sz w:val="32"/>
              <w:szCs w:val="32"/>
              <w:highlight w:val="yellow"/>
            </w:rPr>
            <w:sectPr>
              <w:footerReference r:id="rId4" w:type="default"/>
              <w:pgSz w:w="11906" w:h="16838"/>
              <w:pgMar w:top="1440" w:right="1800" w:bottom="1440" w:left="1800" w:header="851" w:footer="992" w:gutter="0"/>
              <w:pgNumType w:fmt="upperRoman" w:start="1"/>
              <w:cols w:space="425" w:num="1"/>
              <w:docGrid w:type="lines" w:linePitch="312" w:charSpace="0"/>
            </w:sectPr>
          </w:pPr>
          <w:r>
            <w:rPr>
              <w:rFonts w:ascii="Times New Roman" w:hAnsi="Times New Roman" w:eastAsia="黑体" w:cs="Times New Roman"/>
              <w:bCs/>
              <w:szCs w:val="32"/>
            </w:rPr>
            <w:fldChar w:fldCharType="end"/>
          </w:r>
        </w:p>
      </w:sdtContent>
    </w:sdt>
    <w:p>
      <w:pPr>
        <w:spacing w:line="540" w:lineRule="exact"/>
        <w:ind w:firstLine="560" w:firstLineChars="200"/>
        <w:rPr>
          <w:rFonts w:ascii="仿宋" w:hAnsi="仿宋" w:eastAsia="仿宋"/>
          <w:sz w:val="28"/>
          <w:szCs w:val="28"/>
        </w:rPr>
      </w:pPr>
      <w:r>
        <w:rPr>
          <w:rFonts w:hint="eastAsia" w:ascii="仿宋" w:hAnsi="仿宋" w:eastAsia="仿宋"/>
          <w:sz w:val="28"/>
          <w:szCs w:val="28"/>
        </w:rPr>
        <w:t>为贯彻落实党的二十大精神和《中华人民共和国职业教育法</w:t>
      </w:r>
      <w:r>
        <w:rPr>
          <w:rFonts w:hint="eastAsia" w:ascii="仿宋" w:hAnsi="仿宋" w:eastAsia="仿宋"/>
          <w:sz w:val="28"/>
          <w:szCs w:val="28"/>
          <w:lang w:eastAsia="zh-CN"/>
        </w:rPr>
        <w:t>（</w:t>
      </w:r>
      <w:r>
        <w:rPr>
          <w:rFonts w:hint="eastAsia" w:ascii="仿宋" w:hAnsi="仿宋" w:eastAsia="仿宋"/>
          <w:sz w:val="28"/>
          <w:szCs w:val="28"/>
        </w:rPr>
        <w:t>2022修订</w:t>
      </w:r>
      <w:r>
        <w:rPr>
          <w:rFonts w:hint="eastAsia" w:ascii="仿宋" w:hAnsi="仿宋" w:eastAsia="仿宋"/>
          <w:sz w:val="28"/>
          <w:szCs w:val="28"/>
          <w:lang w:eastAsia="zh-CN"/>
        </w:rPr>
        <w:t>）</w:t>
      </w:r>
      <w:r>
        <w:rPr>
          <w:rFonts w:hint="eastAsia" w:ascii="仿宋" w:hAnsi="仿宋" w:eastAsia="仿宋"/>
          <w:sz w:val="28"/>
          <w:szCs w:val="28"/>
        </w:rPr>
        <w:t>》《国家职业教育改革实施方案》《中共中央办公厅 国务院办公厅印发关于推动现代职业教育高质量发展的意见》《中共中央办公厅 国务院办公厅印发〈关于深化现代职业教育体系建设改革的意见〉》《教育部办公厅关于加快推进现代职业教育体系建设改革重点任务的通知》《教育部等五部门关于印发〈职业学校办学条件达标工程实施方案〉的通知》等文件要求，加快我校理工科特色鲜明的国内一流高等职业院校建设，依据《广东省教育厅关于组织开展高等职业教育“创新强校工程”（2023-2025）建设工作的通知》要求，结合《粤港澳大湾区发展规划纲要》</w:t>
      </w:r>
      <w:r>
        <w:rPr>
          <w:rFonts w:ascii="仿宋" w:hAnsi="仿宋" w:eastAsia="仿宋"/>
          <w:sz w:val="28"/>
          <w:szCs w:val="28"/>
        </w:rPr>
        <w:t>《广东省国民经济和社会发展第十四个五年规划和2035年远景目标纲要》《惠州市国民经济和社会发展第十四个五年规划和2035年远景目标纲要》和广东省委“1310”、惠州市委</w:t>
      </w:r>
      <w:r>
        <w:rPr>
          <w:rFonts w:hint="eastAsia" w:ascii="仿宋" w:hAnsi="仿宋" w:eastAsia="仿宋"/>
          <w:sz w:val="28"/>
          <w:szCs w:val="28"/>
        </w:rPr>
        <w:t>加快打造广东高质量发展新增长极重要</w:t>
      </w:r>
      <w:r>
        <w:rPr>
          <w:rFonts w:ascii="仿宋" w:hAnsi="仿宋" w:eastAsia="仿宋"/>
          <w:sz w:val="28"/>
          <w:szCs w:val="28"/>
        </w:rPr>
        <w:t>部署内容，在总结上一周期“创新强校工程”建设情况基础上，对照高等职业教育“创新强校工程”（</w:t>
      </w:r>
      <w:r>
        <w:rPr>
          <w:rFonts w:hint="eastAsia" w:ascii="仿宋" w:hAnsi="仿宋" w:eastAsia="仿宋"/>
          <w:sz w:val="28"/>
          <w:szCs w:val="28"/>
        </w:rPr>
        <w:t>2023-2025</w:t>
      </w:r>
      <w:r>
        <w:rPr>
          <w:rFonts w:ascii="仿宋" w:hAnsi="仿宋" w:eastAsia="仿宋"/>
          <w:sz w:val="28"/>
          <w:szCs w:val="28"/>
        </w:rPr>
        <w:t>）分类实施指导意见和考核指标，科学</w:t>
      </w:r>
      <w:r>
        <w:rPr>
          <w:rFonts w:hint="eastAsia" w:ascii="仿宋" w:hAnsi="仿宋" w:eastAsia="仿宋"/>
          <w:sz w:val="28"/>
          <w:szCs w:val="28"/>
        </w:rPr>
        <w:t>制定我校 “创新强校工程”（2023—2025年）建设规划。</w:t>
      </w:r>
    </w:p>
    <w:p>
      <w:pPr>
        <w:spacing w:line="540" w:lineRule="exact"/>
        <w:ind w:firstLine="560" w:firstLineChars="200"/>
        <w:rPr>
          <w:rFonts w:ascii="仿宋" w:hAnsi="仿宋" w:eastAsia="仿宋"/>
          <w:sz w:val="28"/>
          <w:szCs w:val="28"/>
        </w:rPr>
      </w:pPr>
      <w:r>
        <w:rPr>
          <w:rFonts w:hint="eastAsia" w:ascii="仿宋" w:hAnsi="仿宋" w:eastAsia="仿宋"/>
          <w:sz w:val="28"/>
          <w:szCs w:val="28"/>
        </w:rPr>
        <w:t>我校于2017年升格为高职院校，经过7年多建设发展，特别是经过上一周期的“创新强校工程”建设，学校办学条件更加完善，办学方向和办学定位更加清晰，办学水平和综合实力不断提高，教育教学管理更加规范，理工科办学特色更加凸显，近三年新生平均报到率、毕业去向落实率均远高于全省高职院校平均水平，近两年“创新强校工程”年度考核均位列C类高职院校第4名。</w:t>
      </w:r>
    </w:p>
    <w:p>
      <w:pPr>
        <w:spacing w:line="540" w:lineRule="exact"/>
        <w:ind w:firstLine="560" w:firstLineChars="200"/>
        <w:rPr>
          <w:rFonts w:ascii="仿宋" w:hAnsi="仿宋" w:eastAsia="仿宋"/>
          <w:sz w:val="28"/>
          <w:szCs w:val="28"/>
        </w:rPr>
      </w:pPr>
      <w:r>
        <w:rPr>
          <w:rFonts w:hint="eastAsia" w:ascii="仿宋" w:hAnsi="仿宋" w:eastAsia="仿宋"/>
          <w:sz w:val="28"/>
          <w:szCs w:val="28"/>
        </w:rPr>
        <w:t>学校在充分调研，广泛听取各方意见和组织专家开展科学论证的基础上，选择2023—2025年规划类别为B类，制定我校“创新强校工程”建设规划如下：</w:t>
      </w:r>
      <w:r>
        <w:rPr>
          <w:rFonts w:ascii="仿宋" w:hAnsi="仿宋" w:eastAsia="仿宋"/>
          <w:sz w:val="28"/>
          <w:szCs w:val="28"/>
        </w:rPr>
        <w:t xml:space="preserve"> </w:t>
      </w:r>
    </w:p>
    <w:p>
      <w:pPr>
        <w:pStyle w:val="2"/>
        <w:ind w:firstLine="643"/>
        <w:rPr>
          <w:rFonts w:ascii="黑体" w:hAnsi="黑体" w:cs="黑体"/>
          <w:szCs w:val="32"/>
        </w:rPr>
      </w:pPr>
      <w:bookmarkStart w:id="0" w:name="_Toc164347809"/>
      <w:r>
        <w:rPr>
          <w:rFonts w:hint="eastAsia"/>
        </w:rPr>
        <w:t>一、建设基础</w:t>
      </w:r>
      <w:bookmarkEnd w:id="0"/>
    </w:p>
    <w:p>
      <w:pPr>
        <w:pStyle w:val="3"/>
        <w:ind w:firstLine="643"/>
      </w:pPr>
      <w:bookmarkStart w:id="1" w:name="_Toc164347810"/>
      <w:r>
        <w:rPr>
          <w:rFonts w:hint="eastAsia"/>
        </w:rPr>
        <w:t>（一）基本情况</w:t>
      </w:r>
      <w:bookmarkEnd w:id="1"/>
    </w:p>
    <w:p>
      <w:pPr>
        <w:spacing w:line="540" w:lineRule="exact"/>
        <w:ind w:firstLine="560" w:firstLineChars="200"/>
        <w:rPr>
          <w:rFonts w:ascii="仿宋" w:hAnsi="仿宋" w:eastAsia="仿宋"/>
          <w:sz w:val="28"/>
          <w:szCs w:val="28"/>
        </w:rPr>
      </w:pPr>
      <w:r>
        <w:rPr>
          <w:rFonts w:hint="eastAsia" w:ascii="仿宋" w:hAnsi="仿宋" w:eastAsia="仿宋"/>
          <w:sz w:val="28"/>
          <w:szCs w:val="28"/>
        </w:rPr>
        <w:t>惠州工程职业学院是由惠州市人民政府2017年创办成立的理工科特色鲜明的普通高等职业院校。2018年7月，惠州市将惠州工程技术学校划归惠州工程职业学院，改设为惠州工程职业学院中职部。学校虽新，但历史悠久，办学历史可追溯至创办于1948年的惠阳平潭农校，是东江流域办学历史最为悠久的职业学校之一。学校办学成效得到陈竺、鲁昕、袁隆平等国家、前教育部领导和专家的高度肯定。</w:t>
      </w:r>
    </w:p>
    <w:p>
      <w:pPr>
        <w:spacing w:line="540" w:lineRule="exact"/>
        <w:ind w:firstLine="560" w:firstLineChars="200"/>
        <w:rPr>
          <w:rFonts w:ascii="仿宋" w:hAnsi="仿宋" w:eastAsia="仿宋"/>
          <w:sz w:val="28"/>
          <w:szCs w:val="28"/>
        </w:rPr>
      </w:pPr>
      <w:r>
        <w:rPr>
          <w:rFonts w:hint="eastAsia" w:ascii="仿宋" w:hAnsi="仿宋" w:eastAsia="仿宋"/>
          <w:sz w:val="28"/>
          <w:szCs w:val="28"/>
        </w:rPr>
        <w:t>学校始终坚持和加强党的全面领导，高举中国特色社会主义伟大旗帜，以马克思列宁主义、毛泽东思想、邓小平理论、“三个代表”重要思想、科学发展观、习近平新时代中国特色社会主义思想为指导，全面贯彻落实党的教育方针，落实立德树人根本任务，坚持教育为人民服务、为中国共产党治国理政服务、为巩固和发展中国特色社会主义制度服务、为改革开放和社会主义现代化建设服务，坚守为党育人、为国育才，培养德智体美劳全面发展的社会主义建设者和接班人。</w:t>
      </w:r>
    </w:p>
    <w:p>
      <w:pPr>
        <w:spacing w:line="540" w:lineRule="exact"/>
        <w:ind w:firstLine="560" w:firstLineChars="200"/>
        <w:rPr>
          <w:rFonts w:ascii="仿宋" w:hAnsi="仿宋" w:eastAsia="仿宋"/>
          <w:sz w:val="28"/>
          <w:szCs w:val="28"/>
        </w:rPr>
      </w:pPr>
      <w:r>
        <w:rPr>
          <w:rFonts w:hint="eastAsia" w:ascii="仿宋" w:hAnsi="仿宋" w:eastAsia="仿宋"/>
          <w:sz w:val="28"/>
          <w:szCs w:val="28"/>
        </w:rPr>
        <w:t>7年来，学校办学规模持续增长，“分类考试，综合评价，多元录取”的招生模式日渐多元，“惠工”品牌影响力大幅增强，高水平专业群建设取得重大突破，校企合作和产教融合深入开展，教师队伍成功实现转型升级，学生技能竞赛成绩逐年提升，实习和就业工作规范开展，教职员工教科研积极性提升明显，社会服务能力不断增强，支撑学校高质量发展的基础进一步夯实，学校综合实力和核心竞争力持续增强，获上级部门、同行及家长高度赞誉，办学声誉、社会影响力广泛而深远，为学校高质量发展奠定了坚实的基础。</w:t>
      </w:r>
    </w:p>
    <w:p>
      <w:pPr>
        <w:spacing w:line="540" w:lineRule="exact"/>
        <w:ind w:firstLine="562" w:firstLineChars="200"/>
        <w:rPr>
          <w:rFonts w:ascii="仿宋" w:hAnsi="仿宋" w:eastAsia="仿宋"/>
          <w:bCs/>
          <w:sz w:val="28"/>
          <w:szCs w:val="28"/>
        </w:rPr>
      </w:pPr>
      <w:r>
        <w:rPr>
          <w:rFonts w:hint="eastAsia" w:ascii="仿宋" w:hAnsi="仿宋" w:eastAsia="仿宋"/>
          <w:b/>
          <w:bCs/>
          <w:sz w:val="28"/>
          <w:szCs w:val="28"/>
        </w:rPr>
        <w:t>全面加强党的建设，党对学校全面领导的制度体系日趋完备：</w:t>
      </w:r>
      <w:r>
        <w:rPr>
          <w:rFonts w:hint="eastAsia" w:ascii="仿宋" w:hAnsi="仿宋" w:eastAsia="仿宋"/>
          <w:bCs/>
          <w:sz w:val="28"/>
          <w:szCs w:val="28"/>
        </w:rPr>
        <w:t>学校全面加强党的政治建设、思想建设、组织建设、作风建设、纪律建设，坚持全面从严治党，确保学校始终沿着中国特色社会主义办</w:t>
      </w:r>
      <w:r>
        <w:rPr>
          <w:rFonts w:hint="eastAsia" w:ascii="仿宋" w:hAnsi="仿宋" w:eastAsia="仿宋"/>
          <w:sz w:val="28"/>
          <w:szCs w:val="28"/>
        </w:rPr>
        <w:t>学方向发展。学校坚持和完善党委领导下的校长负责制，党对学校全面领导的体制机制已经建立。2019年9月，学校党委书记和院长分设。学校党委严格履行全面从严治党主体责任，对学校工作实行全面领导，承担管党治党、办学治校主体责任，发挥把方向、管大局、作决策、抓班子、带队伍、保落实的领导作用，履行党章等规定的各项职责，支持校长依法积极主动、独立负责地开展工作，保证了教学、科研、行政管理等各项任务的完成。学校成立二级学院党总支和直属党支部，加强二级学院党的基层建设打造党建研究平台，成立党建工作和学生思政工作研究中心，服务党建品牌创建活动，落实立德树人根本任务。推进职业教育领域教育评价改革和“三全育人”综合改革试点工作，实施思政课程与课程思政一体化建设，实现职业技能和职业精神培养高度融合。2022年底，高素质“双带头人”教师党支部书记100%全覆盖；专职思政课教师与全日制在校生比例1：337；专职辅导员与全日制在校生比例1：199。</w:t>
      </w:r>
    </w:p>
    <w:p>
      <w:pPr>
        <w:spacing w:line="540" w:lineRule="exact"/>
        <w:ind w:firstLine="562" w:firstLineChars="200"/>
        <w:rPr>
          <w:rFonts w:ascii="仿宋" w:hAnsi="仿宋" w:eastAsia="仿宋"/>
          <w:sz w:val="28"/>
          <w:szCs w:val="28"/>
        </w:rPr>
      </w:pPr>
      <w:r>
        <w:rPr>
          <w:rFonts w:hint="eastAsia" w:ascii="仿宋" w:hAnsi="仿宋" w:eastAsia="仿宋"/>
          <w:b/>
          <w:sz w:val="28"/>
          <w:szCs w:val="28"/>
        </w:rPr>
        <w:t>面向社会需要，学校办学方向和办学定位清晰明确：</w:t>
      </w:r>
      <w:r>
        <w:rPr>
          <w:rFonts w:hint="eastAsia" w:ascii="仿宋" w:hAnsi="仿宋" w:eastAsia="仿宋"/>
          <w:sz w:val="28"/>
          <w:szCs w:val="28"/>
        </w:rPr>
        <w:t>学校始终坚持立足惠州，面向粤港澳大湾区，服务高端制造、服务乡村振兴，以“厚德、博学、立业、报国”为校训，致力弘扬“吃苦耐劳、淳朴厚道、臻技敬业、进取创新”的学校精神，努力将学校建成理工科优势突出的国内一流高水平职业院校，培养更多高素质技术技能人才，使学校成为粤港澳大湾区高素质技术技能人才培养高地、产教融合和科教融汇示范高地、科研及培训服务高地，为惠州加快建设更加幸福国内一流城市和广东省及粤港澳大湾区高质量协同发展提供有力人才支撑和智力保障。</w:t>
      </w:r>
    </w:p>
    <w:p>
      <w:pPr>
        <w:spacing w:line="540" w:lineRule="exact"/>
        <w:ind w:firstLine="562" w:firstLineChars="200"/>
        <w:rPr>
          <w:rFonts w:ascii="仿宋" w:hAnsi="仿宋" w:eastAsia="仿宋"/>
          <w:b/>
          <w:sz w:val="28"/>
          <w:szCs w:val="28"/>
        </w:rPr>
      </w:pPr>
      <w:r>
        <w:rPr>
          <w:rFonts w:hint="eastAsia" w:ascii="仿宋" w:hAnsi="仿宋" w:eastAsia="仿宋"/>
          <w:b/>
          <w:sz w:val="28"/>
          <w:szCs w:val="28"/>
        </w:rPr>
        <w:t>增加投入补短板，学校办学条件明显改善：</w:t>
      </w:r>
      <w:r>
        <w:rPr>
          <w:rFonts w:hint="eastAsia" w:ascii="仿宋" w:hAnsi="仿宋" w:eastAsia="仿宋"/>
          <w:sz w:val="28"/>
          <w:szCs w:val="28"/>
        </w:rPr>
        <w:t>学校占地总面积</w:t>
      </w:r>
      <w:r>
        <w:rPr>
          <w:rFonts w:ascii="仿宋" w:hAnsi="仿宋" w:eastAsia="仿宋"/>
          <w:sz w:val="28"/>
          <w:szCs w:val="28"/>
        </w:rPr>
        <w:t>473863.8</w:t>
      </w:r>
      <w:r>
        <w:rPr>
          <w:rFonts w:hint="eastAsia" w:ascii="仿宋" w:hAnsi="仿宋" w:eastAsia="仿宋"/>
          <w:sz w:val="28"/>
          <w:szCs w:val="28"/>
        </w:rPr>
        <w:t>平方米，校舍建筑面积</w:t>
      </w:r>
      <w:r>
        <w:rPr>
          <w:rFonts w:ascii="仿宋" w:hAnsi="仿宋" w:eastAsia="仿宋"/>
          <w:sz w:val="28"/>
          <w:szCs w:val="28"/>
        </w:rPr>
        <w:t>310840.5</w:t>
      </w:r>
      <w:r>
        <w:rPr>
          <w:rFonts w:hint="eastAsia" w:ascii="仿宋" w:hAnsi="仿宋" w:eastAsia="仿宋"/>
          <w:sz w:val="28"/>
          <w:szCs w:val="28"/>
        </w:rPr>
        <w:t>平方米。学校现有全日制在校生14167人（高职11395人、中职2772人），教职工总数429人，其中具有研究生学位或学历150人（含博士研究生8人）、副教授以上教师80人，专任教师数共365人；聘请校外教师81人，聘请行业导师382人。近年来，学校新建面积2.06万平方米图书大楼，大学生素质训练中心、职业培训中心、创新创业中心大楼。按照“五位一体”专业实验实训建设标准，建成达国内先进水平服务于专业大群的校内综合实训基地8个，一体化标准实训室100多间，实训场馆总建筑面积达106826.60平方米，教学科研仪器设备总值1.29亿元。实践教学条件省内高职院校领先，不仅满足了我校学生高标准的实训要求，还为广东省乃至全国提供了教师培训、师生竞赛、学生实训、社会服务等各方面支撑。</w:t>
      </w:r>
    </w:p>
    <w:p>
      <w:pPr>
        <w:spacing w:line="540" w:lineRule="exact"/>
        <w:ind w:firstLine="562" w:firstLineChars="200"/>
        <w:rPr>
          <w:rFonts w:ascii="仿宋" w:hAnsi="仿宋" w:eastAsia="仿宋"/>
          <w:sz w:val="28"/>
          <w:szCs w:val="28"/>
        </w:rPr>
      </w:pPr>
      <w:r>
        <w:rPr>
          <w:rFonts w:hint="eastAsia" w:ascii="仿宋" w:hAnsi="仿宋" w:eastAsia="仿宋"/>
          <w:b/>
          <w:sz w:val="28"/>
          <w:szCs w:val="28"/>
        </w:rPr>
        <w:t>持续教学模式改革，学校专业布局日趋合理：</w:t>
      </w:r>
      <w:r>
        <w:rPr>
          <w:rFonts w:hint="eastAsia" w:ascii="仿宋" w:hAnsi="仿宋" w:eastAsia="仿宋"/>
          <w:sz w:val="28"/>
          <w:szCs w:val="28"/>
        </w:rPr>
        <w:t>学校大力构建人才培养方案标准化建设，积极探索“大思政”建设、混合式教学改革、劳动教育等，探索“项目引领、学分驱动、绩效考核”的“产研融教”机制，搭建“学校+行业协会+龙头企业”的联动平台，按照“课程内容对接职业标准、教学过程对接生产过程、学历证书对接职业资格证书”的总体原则，进行课程体系开发、教学设计与实施及教学资源建设，及时融入最新的职业标准、技术研究，有效推动学生的综合素质培训。学校对标惠州“2+1”产业集群，坚持“农业有特色、工科有优势、商科有精品”的办学发展定位，主动适应广东区域经济发展，服务粤港澳大湾区建设，通过上一轮“创新强校工程”建设，学校现有23个专业， 5个专业群，其中省级高水平专业群2个。</w:t>
      </w:r>
    </w:p>
    <w:p>
      <w:pPr>
        <w:spacing w:line="540" w:lineRule="exact"/>
        <w:ind w:firstLine="562" w:firstLineChars="200"/>
        <w:rPr>
          <w:rFonts w:ascii="仿宋" w:hAnsi="仿宋" w:eastAsia="仿宋"/>
          <w:sz w:val="28"/>
          <w:szCs w:val="28"/>
        </w:rPr>
      </w:pPr>
      <w:r>
        <w:rPr>
          <w:rFonts w:hint="eastAsia" w:ascii="仿宋" w:hAnsi="仿宋" w:eastAsia="仿宋"/>
          <w:b/>
          <w:sz w:val="28"/>
          <w:szCs w:val="28"/>
        </w:rPr>
        <w:t>规范教学管理，人才培养质量逐年提升：</w:t>
      </w:r>
      <w:r>
        <w:rPr>
          <w:rFonts w:hint="eastAsia" w:ascii="仿宋" w:hAnsi="仿宋" w:eastAsia="仿宋"/>
          <w:sz w:val="28"/>
          <w:szCs w:val="28"/>
        </w:rPr>
        <w:t>学校牢固树立人才培养的中心地位，学校主要负责同志身体力行抓教学，统筹推动学校办学资源和教师工作重心聚焦教学工作，学生活动、竞赛丰富，成绩优异。近三年来，获得国家级奖项15项，省级奖项194项，形成1个省级虚拟仿真校内实训基地、1部国家“十四五”规划教材、42个校级课程思政典型案例、65个校级课堂革命典型案例、40门校级在线精品开放课程、2个校级专业教学资源库，为培养高技能人才提供了强有力的资源支撑。招生吸引力持续走高，常年投档率均达到100.00%，录取分数位居广东省高职院校前列。毕业生就业质量保持高水平，2023届毕业生初次去向落实率达97.48%，其中留惠实习率达89.07%，95.21%以上的毕业生服务惠州与“双区”的建设发展。在2023年省教育厅组织的高等职业院校满意度调查中，毕业生对本校的满意度达88.6%，教职工满意度达99.31%，用人单位满意度达98.02%，家长满意度达96.29%，均比往年有较大提高。</w:t>
      </w:r>
    </w:p>
    <w:p>
      <w:pPr>
        <w:spacing w:line="540" w:lineRule="exact"/>
        <w:ind w:firstLine="562" w:firstLineChars="200"/>
        <w:rPr>
          <w:rFonts w:ascii="仿宋" w:hAnsi="仿宋" w:eastAsia="仿宋"/>
          <w:sz w:val="28"/>
          <w:szCs w:val="28"/>
        </w:rPr>
      </w:pPr>
      <w:r>
        <w:rPr>
          <w:rFonts w:hint="eastAsia" w:ascii="仿宋" w:hAnsi="仿宋" w:eastAsia="仿宋"/>
          <w:b/>
          <w:sz w:val="28"/>
          <w:szCs w:val="28"/>
        </w:rPr>
        <w:t>深化产教融合，学校办学适应性明显增强：</w:t>
      </w:r>
      <w:r>
        <w:rPr>
          <w:rFonts w:hint="eastAsia" w:ascii="仿宋" w:hAnsi="仿宋" w:eastAsia="仿宋"/>
          <w:sz w:val="28"/>
          <w:szCs w:val="28"/>
        </w:rPr>
        <w:t>学校联合仲恺高新技术产业开发区、惠州TCL科技集团股份有限公司牵头成立惠州市新一代电子信息产教联合体，先后与利元亨、TCL华星光电、理想汽车等开展现代学徒制、现场工程师、订单培养等项目，成立了TCL产业学院、京东数字产业学院、赢合科技智能制造产业学院、海尔智能家居产业学院4个产业学院，并与精密科技实施“厂中校”人才培养试点，2023届学生“双元”教学对口率达87.31%以上。2021年学校获省教育教学（职业教育）成果一等奖，实现了该奖项零的突破，推动教科研改革成果显著。近7年，学校重点打造科研创新、产教融合、技术技能平台省市级10个，累计获得授权专利305项，获得纵向或横向科研项目立项208项，其中省级以上155项，获得科研经费3050万元，横向科研经费806万元，产生经济效益2000万元。学校支撑惠州产业转型升级的能力显著提升。2023届毕业生初次去向落实率达97.48%，其中留惠实习率达89.07%，95.21%以上的毕业生服务惠州与“双区”的建设发展。</w:t>
      </w:r>
    </w:p>
    <w:p>
      <w:pPr>
        <w:spacing w:line="540" w:lineRule="exact"/>
        <w:ind w:firstLine="562" w:firstLineChars="200"/>
        <w:rPr>
          <w:rFonts w:ascii="仿宋" w:hAnsi="仿宋" w:eastAsia="仿宋"/>
          <w:sz w:val="28"/>
          <w:szCs w:val="28"/>
        </w:rPr>
      </w:pPr>
      <w:r>
        <w:rPr>
          <w:rFonts w:hint="eastAsia" w:ascii="仿宋" w:hAnsi="仿宋" w:eastAsia="仿宋"/>
          <w:b/>
          <w:sz w:val="28"/>
          <w:szCs w:val="28"/>
        </w:rPr>
        <w:t>落实学校科研与社会服务职责，职业培训和继续教育工作有声有色：</w:t>
      </w:r>
      <w:r>
        <w:rPr>
          <w:rFonts w:hint="eastAsia" w:ascii="仿宋" w:hAnsi="仿宋" w:eastAsia="仿宋"/>
          <w:sz w:val="28"/>
          <w:szCs w:val="28"/>
        </w:rPr>
        <w:t>推进教师科研评价改革，建立健全系列科技创新激励和科教融合的办法，有效撬动价值评价和内涵评价，强化广大师生基于学术兴趣和价值贡献的内在动机。通过工作量团队包干、系数减免、整体考核的方式，向高水平专业团队和科研团队下放团队内部工作量调配及绩效分配自主权等权力，加强目标管理，强化对重要团队、重大平台的激励力度。激励教师开展原创性、前沿性、跨学科研究，建成7个技术技能创新服务平台，10支创新服务团队，积极探索建立高职院校科研成果转化服务机制，对于师生科研成果转化从申请咨询、流程管理和人员服务方面给予支持和保障，提升科研成果转化率。出台《惠州工程职业学院科研成果转移转化管理办法》《惠州工程职业学院知识产权管理办法》等办法，激发师生科技服务活力和科教融合动力，促进科技项目和成果向教学资源的转化，反哺人才培养。</w:t>
      </w:r>
    </w:p>
    <w:p>
      <w:pPr>
        <w:spacing w:line="540" w:lineRule="exact"/>
        <w:ind w:firstLine="560" w:firstLineChars="200"/>
        <w:rPr>
          <w:rFonts w:ascii="仿宋" w:hAnsi="仿宋" w:eastAsia="仿宋"/>
          <w:sz w:val="28"/>
          <w:szCs w:val="28"/>
        </w:rPr>
      </w:pPr>
      <w:r>
        <w:rPr>
          <w:rFonts w:hint="eastAsia" w:ascii="仿宋" w:hAnsi="仿宋" w:eastAsia="仿宋"/>
          <w:sz w:val="28"/>
          <w:szCs w:val="28"/>
        </w:rPr>
        <w:t>近年来，学校依托各科研平台和团队，面向“高端产业”“产业高端”深入行业、产业、企业，帮助寻找产业发展和生产过程中面临的痛点、难点问题，多域融合各方资源，与企业联合开展技术推广、技术成果转化、技术咨询服务，积极参与行业企业生产设备改造、产品开发、技术攻关和管理创新工作，推进工业企业产品升级换代，提升中小企业技术创新能力和核心竞争力。重点打造了集人才培养、团队建设、技术服务于一体的植物组织培养等7支科研团队。按照“支撑国家战略、融入区域发展、推动技术革新、服务人人出彩”的社会服务要求，积极做好惠州市驻镇帮镇扶村等社会服务，打造职业教育社会服务“惠工”品牌。学校成立了乡村振兴研究所，定期进行技术帮扶。目前学校已有99名农村科技特派员，定期将学校的智力、技术和资源有力辐射到需求区域，把学习教育搬到田间地头，把农业技术送到老百姓身边，助推农业生产提质增效，助力乡村振兴。</w:t>
      </w:r>
    </w:p>
    <w:p>
      <w:pPr>
        <w:pStyle w:val="23"/>
        <w:spacing w:line="540" w:lineRule="exact"/>
        <w:ind w:firstLine="560"/>
        <w:rPr>
          <w:rFonts w:ascii="仿宋" w:hAnsi="仿宋" w:eastAsia="仿宋"/>
          <w:sz w:val="28"/>
          <w:szCs w:val="28"/>
        </w:rPr>
      </w:pPr>
      <w:r>
        <w:rPr>
          <w:rFonts w:hint="eastAsia" w:ascii="仿宋" w:hAnsi="仿宋" w:eastAsia="仿宋"/>
          <w:sz w:val="28"/>
          <w:szCs w:val="28"/>
        </w:rPr>
        <w:t>学校积极转变发展方式，进一步整合办学资源，形成“多渠道、多层次、多类别”的大培训工作格局，坚持学历教育与培训并重，打造服务载体，提升辐射能力，进一步提升我校服务社会的能力和水平，形成“一中心、多节点、泛终端”的全民终身学习教育服务网络，为全民终身学习和人才强国战略作出积极贡献。近3年，学校继续教育中心开展职业资格认证、岗位培训、理论培训、技能培训等培训项目超100班次，累计开展职业技能鉴定和资格认证4000多人次。</w:t>
      </w:r>
      <w:r>
        <w:rPr>
          <w:rFonts w:ascii="仿宋" w:hAnsi="仿宋" w:eastAsia="仿宋"/>
          <w:sz w:val="28"/>
          <w:szCs w:val="28"/>
        </w:rPr>
        <w:t xml:space="preserve"> </w:t>
      </w:r>
    </w:p>
    <w:p>
      <w:pPr>
        <w:spacing w:line="540" w:lineRule="exact"/>
        <w:ind w:firstLine="560" w:firstLineChars="200"/>
        <w:rPr>
          <w:rFonts w:ascii="仿宋" w:hAnsi="仿宋" w:eastAsia="仿宋"/>
          <w:sz w:val="28"/>
          <w:szCs w:val="28"/>
        </w:rPr>
      </w:pPr>
      <w:r>
        <w:rPr>
          <w:rFonts w:hint="eastAsia" w:ascii="仿宋" w:hAnsi="仿宋" w:eastAsia="仿宋"/>
          <w:sz w:val="28"/>
          <w:szCs w:val="28"/>
        </w:rPr>
        <w:t>学校已成功创建为广东省退役军人教育培训（实训）示范基地、广东省数字政府信息技术应用创新适配测试中心、广东省新型农民培训基地（综合类）、广东省级大学科技园、广东省人文社会科学普及基地（标准基地）、广东省节水型高校、广东省博士工作站、惠州市“三全育人”学校、惠州市党员马克思主义理论教育基地、惠州高素质农民教育培训基地等。</w:t>
      </w:r>
    </w:p>
    <w:p>
      <w:pPr>
        <w:pStyle w:val="3"/>
        <w:ind w:firstLine="643"/>
      </w:pPr>
      <w:bookmarkStart w:id="2" w:name="_Toc164347811"/>
      <w:r>
        <w:rPr>
          <w:rFonts w:hint="eastAsia"/>
        </w:rPr>
        <w:t>（二）优势和特色</w:t>
      </w:r>
      <w:bookmarkEnd w:id="2"/>
    </w:p>
    <w:p>
      <w:pPr>
        <w:pStyle w:val="4"/>
      </w:pPr>
      <w:bookmarkStart w:id="3" w:name="_Toc164347812"/>
      <w:bookmarkStart w:id="4" w:name="_Toc3285"/>
      <w:r>
        <w:t>1.优势</w:t>
      </w:r>
      <w:bookmarkEnd w:id="3"/>
    </w:p>
    <w:p>
      <w:pPr>
        <w:pStyle w:val="5"/>
        <w:ind w:firstLine="562"/>
      </w:pPr>
      <w:r>
        <w:rPr>
          <w:rFonts w:hint="eastAsia"/>
        </w:rPr>
        <w:t>（</w:t>
      </w:r>
      <w:r>
        <w:t>1</w:t>
      </w:r>
      <w:r>
        <w:rPr>
          <w:rFonts w:hint="eastAsia"/>
        </w:rPr>
        <w:t>）区位优势：学校办学定位与粤港澳大湾区经济社会转型升级匹配度高</w:t>
      </w:r>
    </w:p>
    <w:p>
      <w:pPr>
        <w:widowControl/>
        <w:topLinePunct/>
        <w:spacing w:line="540" w:lineRule="exact"/>
        <w:ind w:firstLine="560" w:firstLineChars="200"/>
        <w:rPr>
          <w:rFonts w:ascii="仿宋" w:hAnsi="仿宋" w:eastAsia="仿宋" w:cs="仿宋"/>
          <w:bCs/>
          <w:kern w:val="0"/>
          <w:sz w:val="28"/>
          <w:szCs w:val="28"/>
          <w:lang w:bidi="ar"/>
        </w:rPr>
      </w:pPr>
      <w:r>
        <w:rPr>
          <w:rFonts w:hint="eastAsia" w:ascii="仿宋" w:hAnsi="仿宋" w:eastAsia="仿宋" w:cs="仿宋"/>
          <w:bCs/>
          <w:kern w:val="0"/>
          <w:sz w:val="28"/>
          <w:szCs w:val="28"/>
          <w:lang w:bidi="ar"/>
        </w:rPr>
        <w:t>惠州市坐落于广东省中南部东江之滨，珠江三角洲东北端，南临南海大亚湾，毗邻深圳、香港，北连河源市，东接汕尾市，西邻东莞市和广州市，作为粤港澳大湾区东大门，是大湾区重要节点城市，是粤港澳地区产业、资金流、信息流扩散和转移的首选腹地，是粤东北物流、人流南下、西进的枢纽地带。</w:t>
      </w:r>
    </w:p>
    <w:p>
      <w:pPr>
        <w:widowControl/>
        <w:topLinePunct/>
        <w:spacing w:line="540" w:lineRule="exact"/>
        <w:ind w:firstLine="560" w:firstLineChars="200"/>
        <w:rPr>
          <w:rFonts w:ascii="Times New Roman" w:hAnsi="Times New Roman" w:eastAsia="仿宋" w:cs="Times New Roman"/>
          <w:kern w:val="0"/>
          <w:sz w:val="28"/>
          <w:szCs w:val="28"/>
          <w:lang w:bidi="ar"/>
        </w:rPr>
      </w:pPr>
      <w:r>
        <w:rPr>
          <w:rFonts w:hint="eastAsia" w:ascii="仿宋" w:hAnsi="仿宋" w:eastAsia="仿宋" w:cs="仿宋"/>
          <w:kern w:val="0"/>
          <w:sz w:val="28"/>
          <w:szCs w:val="28"/>
          <w:lang w:bidi="ar"/>
        </w:rPr>
        <w:t>学校现有专业23个，其中工科类专业涵盖电子与信息、交通运输、装备制造和土木建筑等四大专业大类。作为粤港澳地区理工科办学特色鲜明的一所学校，学校立足惠州，辐射粤东，服务粤港澳大</w:t>
      </w:r>
      <w:r>
        <w:rPr>
          <w:rFonts w:ascii="Times New Roman" w:hAnsi="Times New Roman" w:eastAsia="仿宋" w:cs="Times New Roman"/>
          <w:kern w:val="0"/>
          <w:sz w:val="28"/>
          <w:szCs w:val="28"/>
          <w:lang w:bidi="ar"/>
        </w:rPr>
        <w:t>湾区、深圳建设中国特色社</w:t>
      </w:r>
      <w:r>
        <w:fldChar w:fldCharType="begin"/>
      </w:r>
      <w:r>
        <w:instrText xml:space="preserve"> HYPERLINK "https://www.baidu.com/link?url=I44NmnncCwphWSgaeOz8lDrXWYPYptq0V-8LMAokP_Cf7NWDvlKcu2wihg9rvb6k&amp;wd=&amp;eqid=f555af700002fcee00000006618a2271" \t "https://www.baidu.com/_blank" </w:instrText>
      </w:r>
      <w:r>
        <w:fldChar w:fldCharType="separate"/>
      </w:r>
      <w:r>
        <w:rPr>
          <w:rFonts w:ascii="Times New Roman" w:hAnsi="Times New Roman" w:eastAsia="仿宋" w:cs="Times New Roman"/>
          <w:kern w:val="0"/>
          <w:sz w:val="28"/>
          <w:szCs w:val="28"/>
          <w:lang w:bidi="ar"/>
        </w:rPr>
        <w:t>会主义先行示范区</w:t>
      </w:r>
      <w:r>
        <w:rPr>
          <w:rFonts w:ascii="Times New Roman" w:hAnsi="Times New Roman" w:eastAsia="仿宋" w:cs="Times New Roman"/>
          <w:kern w:val="0"/>
          <w:sz w:val="28"/>
          <w:szCs w:val="28"/>
          <w:lang w:bidi="ar"/>
        </w:rPr>
        <w:fldChar w:fldCharType="end"/>
      </w:r>
      <w:r>
        <w:rPr>
          <w:rFonts w:ascii="Times New Roman" w:hAnsi="Times New Roman" w:eastAsia="仿宋" w:cs="Times New Roman"/>
          <w:kern w:val="0"/>
          <w:sz w:val="28"/>
          <w:szCs w:val="28"/>
          <w:lang w:bidi="ar"/>
        </w:rPr>
        <w:t>和前海深港现代服务业合作区，区位优势明显。</w:t>
      </w:r>
    </w:p>
    <w:p>
      <w:pPr>
        <w:pStyle w:val="5"/>
        <w:ind w:firstLine="562"/>
        <w:rPr>
          <w:rFonts w:cs="Times New Roman"/>
        </w:rPr>
      </w:pPr>
      <w:r>
        <w:rPr>
          <w:rFonts w:cs="Times New Roman"/>
        </w:rPr>
        <w:t>（2）政策优势：大湾区系列国家规划文件出台利好学校高质量发展</w:t>
      </w:r>
    </w:p>
    <w:p>
      <w:pPr>
        <w:widowControl/>
        <w:topLinePunct/>
        <w:spacing w:line="540" w:lineRule="exact"/>
        <w:ind w:firstLine="560" w:firstLineChars="200"/>
        <w:rPr>
          <w:rFonts w:ascii="Times New Roman" w:hAnsi="Times New Roman" w:eastAsia="仿宋" w:cs="Times New Roman"/>
          <w:kern w:val="0"/>
          <w:sz w:val="28"/>
          <w:szCs w:val="28"/>
          <w:lang w:bidi="ar"/>
        </w:rPr>
      </w:pPr>
      <w:r>
        <w:rPr>
          <w:rFonts w:ascii="Times New Roman" w:hAnsi="Times New Roman" w:eastAsia="仿宋" w:cs="Times New Roman"/>
          <w:kern w:val="0"/>
          <w:sz w:val="28"/>
          <w:szCs w:val="28"/>
          <w:lang w:bidi="ar"/>
        </w:rPr>
        <w:t>近年来，中共中央、国务院连续印发《粤港澳大湾区发展规划纲要》《关于支持深圳建设中国特色社会主义先行示范区的意见》和《全面深化前海深港现代服务业合作区改革开放方案》三个国家战略层面规划文件，针对大湾区内部发展差距依然较大，协同性、包容性有待加强，部分地区和领域还存在同质化竞争和资源错配现象，对粤港澳大湾区空间布局、区域协调发展、构建现代产业体系和打造教育和人才高地等都做了顶层设计。针对粤港澳大湾区产业结构高端化不足，制造业发展不平衡加剧，生产服务业发展滞后问题，国家明确要求粤港澳大湾区要深化供给侧结构性改革，着力培育发展新产业、新业态、新模式，对传统产业改造升级，加快发展先进</w:t>
      </w:r>
      <w:r>
        <w:rPr>
          <w:rFonts w:hint="eastAsia" w:ascii="Times New Roman" w:hAnsi="Times New Roman" w:eastAsia="仿宋" w:cs="Times New Roman"/>
          <w:kern w:val="0"/>
          <w:sz w:val="28"/>
          <w:szCs w:val="28"/>
          <w:lang w:bidi="ar"/>
        </w:rPr>
        <w:t>制造</w:t>
      </w:r>
      <w:r>
        <w:rPr>
          <w:rFonts w:ascii="Times New Roman" w:hAnsi="Times New Roman" w:eastAsia="仿宋" w:cs="Times New Roman"/>
          <w:kern w:val="0"/>
          <w:sz w:val="28"/>
          <w:szCs w:val="28"/>
          <w:lang w:bidi="ar"/>
        </w:rPr>
        <w:t>业和现代服务业，瞄准国际先进标准提高产业发展水平，促进产业优势互补、紧密协作、联动发展，培育若干世界级产业集群。</w:t>
      </w:r>
    </w:p>
    <w:p>
      <w:pPr>
        <w:spacing w:line="540" w:lineRule="exact"/>
        <w:ind w:firstLine="560" w:firstLineChars="200"/>
        <w:rPr>
          <w:rFonts w:ascii="等线" w:hAnsi="等线" w:eastAsia="仿宋" w:cs="Times New Roman"/>
          <w:sz w:val="28"/>
        </w:rPr>
      </w:pPr>
      <w:r>
        <w:rPr>
          <w:rFonts w:ascii="Times New Roman" w:hAnsi="Times New Roman" w:eastAsia="仿宋" w:cs="Times New Roman"/>
          <w:sz w:val="28"/>
        </w:rPr>
        <w:t>《惠州市国民经济和社会发展第十四个五年规划和2035年远景目标纲要》明确提出到2035年，惠州将基本实现社会主义现代化，经济实力、发展质量跻身全国一流城市行列。锚定2035年远景目标，惠州决定实施创新驱动发展战略，</w:t>
      </w:r>
      <w:r>
        <w:rPr>
          <w:rFonts w:hint="eastAsia" w:ascii="等线" w:hAnsi="等线" w:eastAsia="仿宋" w:cs="Times New Roman"/>
          <w:sz w:val="28"/>
        </w:rPr>
        <w:t>强化“双区”引领，深度融入“一核一带一区”区域发展格局，全面实施乡村振兴战略，加快农业农村现代化建设，重点打造“</w:t>
      </w:r>
      <w:r>
        <w:rPr>
          <w:rFonts w:ascii="Times New Roman" w:hAnsi="Times New Roman" w:eastAsia="仿宋" w:cs="Times New Roman"/>
          <w:sz w:val="28"/>
        </w:rPr>
        <w:t>2+1</w:t>
      </w:r>
      <w:r>
        <w:rPr>
          <w:rFonts w:hint="eastAsia" w:ascii="等线" w:hAnsi="等线" w:eastAsia="仿宋" w:cs="Times New Roman"/>
          <w:sz w:val="28"/>
        </w:rPr>
        <w:t>”产业集群，构建更具竞争力的现代产业体系，大力推动数字化发展，赋能国内一流城市建设等一系列措施。</w:t>
      </w:r>
    </w:p>
    <w:p>
      <w:pPr>
        <w:pStyle w:val="5"/>
        <w:ind w:firstLine="562"/>
      </w:pPr>
      <w:r>
        <w:rPr>
          <w:rFonts w:hint="eastAsia"/>
        </w:rPr>
        <w:t>（3）领导有力，机制活，党建引领学校高质量发展动能澎湃</w:t>
      </w:r>
    </w:p>
    <w:p>
      <w:pPr>
        <w:keepNext/>
        <w:keepLines/>
        <w:spacing w:line="540" w:lineRule="exact"/>
        <w:ind w:firstLine="562" w:firstLineChars="200"/>
        <w:rPr>
          <w:rFonts w:ascii="Arial" w:hAnsi="Arial" w:eastAsia="仿宋" w:cs="Times New Roman"/>
          <w:b/>
          <w:sz w:val="28"/>
        </w:rPr>
      </w:pPr>
      <w:r>
        <w:rPr>
          <w:rFonts w:ascii="Arial" w:hAnsi="Arial" w:eastAsia="仿宋" w:cs="Times New Roman"/>
          <w:b/>
          <w:sz w:val="28"/>
        </w:rPr>
        <w:fldChar w:fldCharType="begin"/>
      </w:r>
      <w:r>
        <w:rPr>
          <w:rFonts w:ascii="Arial" w:hAnsi="Arial" w:eastAsia="仿宋" w:cs="Times New Roman"/>
          <w:b/>
          <w:sz w:val="28"/>
        </w:rPr>
        <w:instrText xml:space="preserve"> </w:instrText>
      </w:r>
      <w:r>
        <w:rPr>
          <w:rFonts w:hint="eastAsia" w:ascii="Arial" w:hAnsi="Arial" w:eastAsia="仿宋" w:cs="Times New Roman"/>
          <w:b/>
          <w:sz w:val="28"/>
        </w:rPr>
        <w:instrText xml:space="preserve">= 1 \* GB3</w:instrText>
      </w:r>
      <w:r>
        <w:rPr>
          <w:rFonts w:ascii="Arial" w:hAnsi="Arial" w:eastAsia="仿宋" w:cs="Times New Roman"/>
          <w:b/>
          <w:sz w:val="28"/>
        </w:rPr>
        <w:instrText xml:space="preserve"> </w:instrText>
      </w:r>
      <w:r>
        <w:rPr>
          <w:rFonts w:ascii="Arial" w:hAnsi="Arial" w:eastAsia="仿宋" w:cs="Times New Roman"/>
          <w:b/>
          <w:sz w:val="28"/>
        </w:rPr>
        <w:fldChar w:fldCharType="separate"/>
      </w:r>
      <w:r>
        <w:rPr>
          <w:rFonts w:hint="eastAsia" w:ascii="Arial" w:hAnsi="Arial" w:eastAsia="仿宋" w:cs="Times New Roman"/>
          <w:b/>
          <w:sz w:val="28"/>
        </w:rPr>
        <w:t>①</w:t>
      </w:r>
      <w:r>
        <w:rPr>
          <w:rFonts w:ascii="Arial" w:hAnsi="Arial" w:eastAsia="仿宋" w:cs="Times New Roman"/>
          <w:b/>
          <w:sz w:val="28"/>
        </w:rPr>
        <w:fldChar w:fldCharType="end"/>
      </w:r>
      <w:r>
        <w:rPr>
          <w:rFonts w:hint="eastAsia" w:ascii="Arial" w:hAnsi="Arial" w:eastAsia="仿宋" w:cs="Times New Roman"/>
          <w:b/>
          <w:sz w:val="28"/>
        </w:rPr>
        <w:t>党的全面领导坚强有力，办学政治方向坚定</w:t>
      </w:r>
    </w:p>
    <w:p>
      <w:pPr>
        <w:widowControl/>
        <w:snapToGrid w:val="0"/>
        <w:spacing w:line="540" w:lineRule="exact"/>
        <w:ind w:firstLine="560" w:firstLineChars="200"/>
        <w:jc w:val="left"/>
        <w:textAlignment w:val="center"/>
        <w:rPr>
          <w:rFonts w:ascii="仿宋" w:hAnsi="仿宋" w:eastAsia="仿宋" w:cs="仿宋"/>
          <w:kern w:val="0"/>
          <w:sz w:val="28"/>
          <w:szCs w:val="28"/>
          <w:lang w:bidi="ar"/>
        </w:rPr>
      </w:pPr>
      <w:r>
        <w:rPr>
          <w:rFonts w:hint="eastAsia" w:ascii="仿宋" w:hAnsi="仿宋" w:eastAsia="仿宋" w:cs="仿宋"/>
          <w:kern w:val="0"/>
          <w:sz w:val="28"/>
          <w:szCs w:val="28"/>
          <w:lang w:bidi="ar"/>
        </w:rPr>
        <w:t>学校党委认真贯彻落实习近平总书记关于加强党对高校工作全面领导的重要论述，认真履行全面从严治党责任，切实将党的领导贯彻到办学治校、教书育人全过程、全方位，确保学校始终沿着中国特色社会主义办学方向发展，着力办好特色高职院校。2022年、2023年学校党建工作被中共广东省委教育工作委员会考核为“好”的等次。创新党建研究平台，成立党建工作和学生思政工作研究中心，服务区域党建和立德树人。推进职业教育领域“三全育人”综合改革试点工作，使各类课程与思想政治理论课同向同行，努力实现职业技能和职业精神培养高度融合。</w:t>
      </w:r>
    </w:p>
    <w:p>
      <w:pPr>
        <w:keepNext/>
        <w:keepLines/>
        <w:spacing w:line="540" w:lineRule="exact"/>
        <w:ind w:firstLine="562" w:firstLineChars="200"/>
        <w:rPr>
          <w:rFonts w:ascii="Arial" w:hAnsi="Arial" w:eastAsia="仿宋" w:cs="Times New Roman"/>
          <w:b/>
          <w:sz w:val="28"/>
        </w:rPr>
      </w:pPr>
      <w:r>
        <w:rPr>
          <w:rFonts w:ascii="Arial" w:hAnsi="Arial" w:eastAsia="仿宋" w:cs="Times New Roman"/>
          <w:b/>
          <w:sz w:val="28"/>
        </w:rPr>
        <w:fldChar w:fldCharType="begin"/>
      </w:r>
      <w:r>
        <w:rPr>
          <w:rFonts w:ascii="Arial" w:hAnsi="Arial" w:eastAsia="仿宋" w:cs="Times New Roman"/>
          <w:b/>
          <w:sz w:val="28"/>
        </w:rPr>
        <w:instrText xml:space="preserve"> </w:instrText>
      </w:r>
      <w:r>
        <w:rPr>
          <w:rFonts w:hint="eastAsia" w:ascii="Arial" w:hAnsi="Arial" w:eastAsia="仿宋" w:cs="Times New Roman"/>
          <w:b/>
          <w:sz w:val="28"/>
        </w:rPr>
        <w:instrText xml:space="preserve">= 2 \* GB3</w:instrText>
      </w:r>
      <w:r>
        <w:rPr>
          <w:rFonts w:ascii="Arial" w:hAnsi="Arial" w:eastAsia="仿宋" w:cs="Times New Roman"/>
          <w:b/>
          <w:sz w:val="28"/>
        </w:rPr>
        <w:instrText xml:space="preserve"> </w:instrText>
      </w:r>
      <w:r>
        <w:rPr>
          <w:rFonts w:ascii="Arial" w:hAnsi="Arial" w:eastAsia="仿宋" w:cs="Times New Roman"/>
          <w:b/>
          <w:sz w:val="28"/>
        </w:rPr>
        <w:fldChar w:fldCharType="separate"/>
      </w:r>
      <w:r>
        <w:rPr>
          <w:rFonts w:hint="eastAsia" w:ascii="Arial" w:hAnsi="Arial" w:eastAsia="仿宋" w:cs="Times New Roman"/>
          <w:b/>
          <w:sz w:val="28"/>
        </w:rPr>
        <w:t>②</w:t>
      </w:r>
      <w:r>
        <w:rPr>
          <w:rFonts w:ascii="Arial" w:hAnsi="Arial" w:eastAsia="仿宋" w:cs="Times New Roman"/>
          <w:b/>
          <w:sz w:val="28"/>
        </w:rPr>
        <w:fldChar w:fldCharType="end"/>
      </w:r>
      <w:r>
        <w:rPr>
          <w:rFonts w:hint="eastAsia" w:ascii="Arial" w:hAnsi="Arial" w:eastAsia="仿宋" w:cs="Times New Roman"/>
          <w:b/>
          <w:sz w:val="28"/>
        </w:rPr>
        <w:t>“三教”改革纵深发展，人才培养质量跨越提升</w:t>
      </w:r>
    </w:p>
    <w:p>
      <w:pPr>
        <w:adjustRightInd w:val="0"/>
        <w:spacing w:line="540" w:lineRule="exact"/>
        <w:ind w:firstLine="560" w:firstLineChars="200"/>
        <w:rPr>
          <w:rFonts w:ascii="仿宋" w:hAnsi="仿宋" w:eastAsia="仿宋" w:cs="仿宋"/>
          <w:bCs/>
          <w:kern w:val="0"/>
          <w:sz w:val="28"/>
          <w:szCs w:val="28"/>
          <w:lang w:bidi="ar"/>
        </w:rPr>
      </w:pPr>
      <w:r>
        <w:rPr>
          <w:rFonts w:ascii="仿宋" w:hAnsi="仿宋" w:eastAsia="仿宋" w:cs="仿宋"/>
          <w:bCs/>
          <w:kern w:val="0"/>
          <w:sz w:val="28"/>
          <w:szCs w:val="28"/>
          <w:lang w:bidi="ar"/>
        </w:rPr>
        <w:t>学校高度重视教学质量与教学改革工作，推动力度和重视程度不断加强</w:t>
      </w:r>
      <w:r>
        <w:rPr>
          <w:rFonts w:hint="eastAsia" w:ascii="仿宋" w:hAnsi="仿宋" w:eastAsia="仿宋" w:cs="仿宋"/>
          <w:bCs/>
          <w:kern w:val="0"/>
          <w:sz w:val="28"/>
          <w:szCs w:val="28"/>
          <w:lang w:eastAsia="zh-CN" w:bidi="ar"/>
        </w:rPr>
        <w:t>，</w:t>
      </w:r>
      <w:r>
        <w:rPr>
          <w:rFonts w:ascii="仿宋" w:hAnsi="仿宋" w:eastAsia="仿宋" w:cs="仿宋"/>
          <w:bCs/>
          <w:kern w:val="0"/>
          <w:sz w:val="28"/>
          <w:szCs w:val="28"/>
          <w:lang w:bidi="ar"/>
        </w:rPr>
        <w:t>持续加大对教学质量与教学改革的支持力度，营造了良好教学改革氛围，</w:t>
      </w:r>
      <w:r>
        <w:rPr>
          <w:rFonts w:hint="eastAsia" w:ascii="仿宋" w:hAnsi="仿宋" w:eastAsia="仿宋" w:cs="仿宋"/>
          <w:bCs/>
          <w:kern w:val="0"/>
          <w:sz w:val="28"/>
          <w:szCs w:val="28"/>
          <w:lang w:bidi="ar"/>
        </w:rPr>
        <w:t>持续深化大规模课堂教学改革，不断提升人才培养质量</w:t>
      </w:r>
      <w:r>
        <w:rPr>
          <w:rFonts w:ascii="仿宋" w:hAnsi="仿宋" w:eastAsia="仿宋" w:cs="仿宋"/>
          <w:bCs/>
          <w:kern w:val="0"/>
          <w:sz w:val="28"/>
          <w:szCs w:val="28"/>
          <w:lang w:bidi="ar"/>
        </w:rPr>
        <w:t>。</w:t>
      </w:r>
      <w:r>
        <w:rPr>
          <w:rFonts w:hint="eastAsia" w:ascii="仿宋" w:hAnsi="仿宋" w:eastAsia="仿宋" w:cs="仿宋"/>
          <w:bCs/>
          <w:kern w:val="0"/>
          <w:sz w:val="28"/>
          <w:szCs w:val="28"/>
          <w:lang w:bidi="ar"/>
        </w:rPr>
        <w:t>2021年，学校印发《惠州工程职业学院线上线下混合式教学模式改革实施方案》，以课堂教学改革为突破点，推动学校教师提升信息化教学能力，革新线下课堂，形成了一批值得推广的优秀案例。2021年，</w:t>
      </w:r>
      <w:r>
        <w:rPr>
          <w:rFonts w:ascii="仿宋" w:hAnsi="仿宋" w:eastAsia="仿宋" w:cs="仿宋"/>
          <w:bCs/>
          <w:kern w:val="0"/>
          <w:sz w:val="28"/>
          <w:szCs w:val="28"/>
          <w:lang w:bidi="ar"/>
        </w:rPr>
        <w:t>我校申报的广东省高职教育教师教学创新团队、广东省虚拟仿真校内实践基地、广东省校外实践教学基地、广东省高职教育教学改革研究与实践项目等4项省级质量工程项目获省教育厅立项，学校现代学徒制改革项目和美育评价改革项目获广东省教育厅教育评价改革试点项目立项。</w:t>
      </w:r>
      <w:r>
        <w:rPr>
          <w:rFonts w:hint="eastAsia" w:ascii="仿宋" w:hAnsi="仿宋" w:eastAsia="仿宋" w:cs="仿宋"/>
          <w:bCs/>
          <w:kern w:val="0"/>
          <w:sz w:val="28"/>
          <w:szCs w:val="28"/>
          <w:lang w:bidi="ar"/>
        </w:rPr>
        <w:t>2022年，</w:t>
      </w:r>
      <w:r>
        <w:rPr>
          <w:rFonts w:ascii="仿宋" w:hAnsi="仿宋" w:eastAsia="仿宋" w:cs="仿宋"/>
          <w:bCs/>
          <w:kern w:val="0"/>
          <w:sz w:val="28"/>
          <w:szCs w:val="28"/>
          <w:lang w:bidi="ar"/>
        </w:rPr>
        <w:t>我校黄媛婷老师《新工科OBE理念下CAD课程评价改革实践案例》成功入选广东省第二批教育评价改革典型案例。</w:t>
      </w:r>
    </w:p>
    <w:p>
      <w:pPr>
        <w:keepNext/>
        <w:keepLines/>
        <w:spacing w:line="540" w:lineRule="exact"/>
        <w:ind w:firstLine="562" w:firstLineChars="200"/>
        <w:rPr>
          <w:rFonts w:ascii="Times New Roman" w:hAnsi="Times New Roman" w:eastAsia="仿宋" w:cs="Times New Roman"/>
          <w:b/>
          <w:sz w:val="28"/>
        </w:rPr>
      </w:pPr>
      <w:r>
        <w:rPr>
          <w:rFonts w:ascii="Times New Roman" w:hAnsi="Times New Roman" w:eastAsia="仿宋" w:cs="Times New Roman"/>
          <w:b/>
          <w:sz w:val="28"/>
        </w:rPr>
        <w:fldChar w:fldCharType="begin"/>
      </w:r>
      <w:r>
        <w:rPr>
          <w:rFonts w:ascii="Times New Roman" w:hAnsi="Times New Roman" w:eastAsia="仿宋" w:cs="Times New Roman"/>
          <w:b/>
          <w:sz w:val="28"/>
        </w:rPr>
        <w:instrText xml:space="preserve"> = 3 \* GB3 </w:instrText>
      </w:r>
      <w:r>
        <w:rPr>
          <w:rFonts w:ascii="Times New Roman" w:hAnsi="Times New Roman" w:eastAsia="仿宋" w:cs="Times New Roman"/>
          <w:b/>
          <w:sz w:val="28"/>
        </w:rPr>
        <w:fldChar w:fldCharType="separate"/>
      </w:r>
      <w:r>
        <w:rPr>
          <w:rFonts w:ascii="Times New Roman" w:hAnsi="Times New Roman" w:eastAsia="仿宋" w:cs="Times New Roman"/>
          <w:b/>
          <w:sz w:val="28"/>
        </w:rPr>
        <w:t>③</w:t>
      </w:r>
      <w:r>
        <w:rPr>
          <w:rFonts w:ascii="Times New Roman" w:hAnsi="Times New Roman" w:eastAsia="仿宋" w:cs="Times New Roman"/>
          <w:b/>
          <w:sz w:val="28"/>
        </w:rPr>
        <w:fldChar w:fldCharType="end"/>
      </w:r>
      <w:r>
        <w:rPr>
          <w:rFonts w:ascii="Times New Roman" w:hAnsi="Times New Roman" w:eastAsia="仿宋" w:cs="Times New Roman"/>
          <w:b/>
          <w:sz w:val="28"/>
        </w:rPr>
        <w:t>专业设置与区域产业匹配度100%</w:t>
      </w:r>
    </w:p>
    <w:p>
      <w:pPr>
        <w:adjustRightInd w:val="0"/>
        <w:spacing w:line="540" w:lineRule="exact"/>
        <w:ind w:firstLine="560" w:firstLineChars="200"/>
        <w:rPr>
          <w:rFonts w:ascii="Times New Roman" w:hAnsi="Times New Roman" w:eastAsia="仿宋" w:cs="Times New Roman"/>
          <w:kern w:val="0"/>
          <w:sz w:val="28"/>
          <w:szCs w:val="28"/>
          <w:lang w:bidi="ar"/>
        </w:rPr>
      </w:pPr>
      <w:r>
        <w:rPr>
          <w:rFonts w:ascii="Times New Roman" w:hAnsi="Times New Roman" w:eastAsia="仿宋" w:cs="Times New Roman"/>
          <w:kern w:val="0"/>
          <w:sz w:val="28"/>
          <w:szCs w:val="28"/>
          <w:lang w:bidi="ar"/>
        </w:rPr>
        <w:t>为服务“粤港澳大湾区”和“深圳先行示范区”建设，面向产业数字化转型升级，聚焦大数据、人工智能、工业互联网、区块链、信息技术应用创新等发展领域，通过制定专业建设管理办法，建立专家指导委员会和动态数据库、推进“一流专业”建设，实施项目引领等路径，健全专业动态调整机制，形成应用电子技术专业群、商务数据分析与应用专业群、动物医学专业群、新能源汽车技术专业群和数字媒体艺术设计专业群等5个专业群。</w:t>
      </w:r>
    </w:p>
    <w:p>
      <w:pPr>
        <w:adjustRightInd w:val="0"/>
        <w:spacing w:line="540" w:lineRule="exact"/>
        <w:ind w:firstLine="560" w:firstLineChars="200"/>
        <w:rPr>
          <w:rFonts w:ascii="Times New Roman" w:hAnsi="Times New Roman" w:eastAsia="仿宋" w:cs="Times New Roman"/>
          <w:kern w:val="0"/>
          <w:sz w:val="28"/>
          <w:szCs w:val="28"/>
          <w:lang w:bidi="ar"/>
        </w:rPr>
      </w:pPr>
      <w:r>
        <w:rPr>
          <w:rFonts w:ascii="Times New Roman" w:hAnsi="Times New Roman" w:eastAsia="仿宋" w:cs="Times New Roman"/>
          <w:kern w:val="0"/>
          <w:sz w:val="28"/>
          <w:szCs w:val="28"/>
          <w:lang w:bidi="ar"/>
        </w:rPr>
        <w:t>学校专业设置以服务粤港澳大湾区电子信息产业发展为导向，以实现专业布局与区域产业结构相匹配为原则，逐年进行动态调整。目前学校招生专业数共23个，专业设置与大湾区电子信息产业匹配度达到100%。</w:t>
      </w:r>
    </w:p>
    <w:p>
      <w:pPr>
        <w:keepNext/>
        <w:keepLines/>
        <w:spacing w:line="540" w:lineRule="exact"/>
        <w:ind w:firstLine="562" w:firstLineChars="200"/>
        <w:rPr>
          <w:rFonts w:ascii="Times New Roman" w:hAnsi="Times New Roman" w:eastAsia="仿宋" w:cs="Times New Roman"/>
          <w:b/>
          <w:sz w:val="28"/>
        </w:rPr>
      </w:pPr>
      <w:r>
        <w:rPr>
          <w:rFonts w:ascii="Times New Roman" w:hAnsi="Times New Roman" w:eastAsia="仿宋" w:cs="Times New Roman"/>
          <w:b/>
          <w:sz w:val="28"/>
        </w:rPr>
        <w:fldChar w:fldCharType="begin"/>
      </w:r>
      <w:r>
        <w:rPr>
          <w:rFonts w:ascii="Times New Roman" w:hAnsi="Times New Roman" w:eastAsia="仿宋" w:cs="Times New Roman"/>
          <w:b/>
          <w:sz w:val="28"/>
        </w:rPr>
        <w:instrText xml:space="preserve"> = 4 \* GB3 </w:instrText>
      </w:r>
      <w:r>
        <w:rPr>
          <w:rFonts w:ascii="Times New Roman" w:hAnsi="Times New Roman" w:eastAsia="仿宋" w:cs="Times New Roman"/>
          <w:b/>
          <w:sz w:val="28"/>
        </w:rPr>
        <w:fldChar w:fldCharType="separate"/>
      </w:r>
      <w:r>
        <w:rPr>
          <w:rFonts w:ascii="Times New Roman" w:hAnsi="Times New Roman" w:eastAsia="仿宋" w:cs="Times New Roman"/>
          <w:b/>
          <w:sz w:val="28"/>
        </w:rPr>
        <w:t>④</w:t>
      </w:r>
      <w:r>
        <w:rPr>
          <w:rFonts w:ascii="Times New Roman" w:hAnsi="Times New Roman" w:eastAsia="仿宋" w:cs="Times New Roman"/>
          <w:b/>
          <w:sz w:val="28"/>
        </w:rPr>
        <w:fldChar w:fldCharType="end"/>
      </w:r>
      <w:r>
        <w:rPr>
          <w:rFonts w:ascii="Times New Roman" w:hAnsi="Times New Roman" w:eastAsia="仿宋" w:cs="Times New Roman"/>
          <w:b/>
          <w:sz w:val="28"/>
        </w:rPr>
        <w:t>深度开展产教融合，共建校企命运共同体</w:t>
      </w:r>
    </w:p>
    <w:p>
      <w:pPr>
        <w:widowControl/>
        <w:snapToGrid w:val="0"/>
        <w:spacing w:line="540" w:lineRule="exact"/>
        <w:ind w:firstLine="560" w:firstLineChars="200"/>
        <w:jc w:val="left"/>
        <w:textAlignment w:val="center"/>
        <w:rPr>
          <w:rFonts w:ascii="Times New Roman" w:hAnsi="Times New Roman" w:eastAsia="仿宋" w:cs="Times New Roman"/>
          <w:bCs/>
          <w:kern w:val="0"/>
          <w:sz w:val="28"/>
          <w:szCs w:val="21"/>
          <w:lang w:bidi="ar"/>
        </w:rPr>
      </w:pPr>
      <w:r>
        <w:rPr>
          <w:rFonts w:ascii="Times New Roman" w:hAnsi="Times New Roman" w:eastAsia="仿宋" w:cs="Times New Roman"/>
          <w:bCs/>
          <w:kern w:val="0"/>
          <w:sz w:val="28"/>
          <w:szCs w:val="21"/>
          <w:lang w:bidi="ar"/>
        </w:rPr>
        <w:t>学校深入推进校企合作，已牵头成立</w:t>
      </w:r>
      <w:r>
        <w:rPr>
          <w:rFonts w:hint="eastAsia" w:ascii="Times New Roman" w:hAnsi="Times New Roman" w:eastAsia="仿宋" w:cs="Times New Roman"/>
          <w:bCs/>
          <w:kern w:val="0"/>
          <w:sz w:val="28"/>
          <w:szCs w:val="21"/>
          <w:lang w:bidi="ar"/>
        </w:rPr>
        <w:t>1个市域产教联合体，紧密联系</w:t>
      </w:r>
      <w:r>
        <w:rPr>
          <w:rFonts w:ascii="Times New Roman" w:hAnsi="Times New Roman" w:eastAsia="仿宋" w:cs="Times New Roman"/>
          <w:bCs/>
          <w:kern w:val="0"/>
          <w:sz w:val="28"/>
          <w:szCs w:val="21"/>
          <w:lang w:bidi="ar"/>
        </w:rPr>
        <w:t>产学合作企业153个，培育省级产教融合企业3个，与TCL等行业领先企业合作共建产业学院，与海尔集团等共建校内实践基地5个，与广东金力变速科技股份有限公司等共建校外实践教学基地等10个，连同企业开发1+X职业技能等级证书考证标准8项，开发1+X课程标准4个。协同利元亨、理想汽车、京东等企业开展订单培养人才。仅2022年，企业为学校捐赠仪器设备价值1300万元。合作企业接受顶岗实习学生数占当届学生数的68%，校企协同育人质量获得合作企业广泛认可。</w:t>
      </w:r>
    </w:p>
    <w:p>
      <w:pPr>
        <w:keepNext/>
        <w:keepLines/>
        <w:spacing w:line="540" w:lineRule="exact"/>
        <w:ind w:firstLine="562" w:firstLineChars="200"/>
        <w:rPr>
          <w:rFonts w:ascii="Times New Roman" w:hAnsi="Times New Roman" w:eastAsia="仿宋" w:cs="Times New Roman"/>
          <w:b/>
          <w:sz w:val="28"/>
        </w:rPr>
      </w:pPr>
      <w:r>
        <w:rPr>
          <w:rFonts w:ascii="Times New Roman" w:hAnsi="Times New Roman" w:eastAsia="仿宋" w:cs="Times New Roman"/>
          <w:b/>
          <w:sz w:val="28"/>
        </w:rPr>
        <w:fldChar w:fldCharType="begin"/>
      </w:r>
      <w:r>
        <w:rPr>
          <w:rFonts w:ascii="Times New Roman" w:hAnsi="Times New Roman" w:eastAsia="仿宋" w:cs="Times New Roman"/>
          <w:b/>
          <w:sz w:val="28"/>
        </w:rPr>
        <w:instrText xml:space="preserve"> = 5 \* GB3 </w:instrText>
      </w:r>
      <w:r>
        <w:rPr>
          <w:rFonts w:ascii="Times New Roman" w:hAnsi="Times New Roman" w:eastAsia="仿宋" w:cs="Times New Roman"/>
          <w:b/>
          <w:sz w:val="28"/>
        </w:rPr>
        <w:fldChar w:fldCharType="separate"/>
      </w:r>
      <w:r>
        <w:rPr>
          <w:rFonts w:ascii="Times New Roman" w:hAnsi="Times New Roman" w:eastAsia="仿宋" w:cs="Times New Roman"/>
          <w:b/>
          <w:sz w:val="28"/>
        </w:rPr>
        <w:t>⑤</w:t>
      </w:r>
      <w:r>
        <w:rPr>
          <w:rFonts w:ascii="Times New Roman" w:hAnsi="Times New Roman" w:eastAsia="仿宋" w:cs="Times New Roman"/>
          <w:b/>
          <w:sz w:val="28"/>
        </w:rPr>
        <w:fldChar w:fldCharType="end"/>
      </w:r>
      <w:r>
        <w:rPr>
          <w:rFonts w:ascii="Times New Roman" w:hAnsi="Times New Roman" w:eastAsia="仿宋" w:cs="Times New Roman"/>
          <w:b/>
          <w:sz w:val="28"/>
        </w:rPr>
        <w:t>服务体系完备，社会培训高端发力</w:t>
      </w:r>
    </w:p>
    <w:p>
      <w:pPr>
        <w:spacing w:line="540" w:lineRule="exact"/>
        <w:ind w:firstLine="560" w:firstLineChars="200"/>
        <w:rPr>
          <w:rFonts w:ascii="Times New Roman" w:hAnsi="Times New Roman" w:eastAsia="仿宋" w:cs="Times New Roman"/>
          <w:bCs/>
          <w:kern w:val="0"/>
          <w:sz w:val="28"/>
          <w:szCs w:val="28"/>
          <w:lang w:bidi="ar"/>
        </w:rPr>
      </w:pPr>
      <w:r>
        <w:rPr>
          <w:rFonts w:ascii="Times New Roman" w:hAnsi="Times New Roman" w:eastAsia="仿宋" w:cs="Times New Roman"/>
          <w:bCs/>
          <w:kern w:val="0"/>
          <w:sz w:val="28"/>
          <w:szCs w:val="28"/>
          <w:lang w:bidi="ar"/>
        </w:rPr>
        <w:t>构建了完备的科研保障体系和社会服务体系。搭建了“基于工业4.0产教研共享智能制造中心”等高端产业科研平台6个，形成信息技术等多个高水平、有特色和交叉型服务团队5个。近</w:t>
      </w:r>
      <w:r>
        <w:rPr>
          <w:rFonts w:hint="eastAsia" w:ascii="Times New Roman" w:hAnsi="Times New Roman" w:eastAsia="仿宋" w:cs="Times New Roman"/>
          <w:bCs/>
          <w:kern w:val="0"/>
          <w:sz w:val="28"/>
          <w:szCs w:val="28"/>
          <w:lang w:bidi="ar"/>
        </w:rPr>
        <w:t>3年，</w:t>
      </w:r>
      <w:r>
        <w:rPr>
          <w:rFonts w:ascii="Times New Roman" w:hAnsi="Times New Roman" w:eastAsia="仿宋" w:cs="Times New Roman"/>
          <w:bCs/>
          <w:kern w:val="0"/>
          <w:sz w:val="28"/>
          <w:szCs w:val="28"/>
          <w:lang w:bidi="ar"/>
        </w:rPr>
        <w:t>年均完成重点领域各类人才培训项目17000余人日的继续教育培训。</w:t>
      </w:r>
    </w:p>
    <w:p>
      <w:pPr>
        <w:pStyle w:val="4"/>
      </w:pPr>
      <w:bookmarkStart w:id="5" w:name="_Toc164347813"/>
      <w:r>
        <w:t>2.特色</w:t>
      </w:r>
      <w:bookmarkEnd w:id="5"/>
    </w:p>
    <w:p>
      <w:pPr>
        <w:pStyle w:val="5"/>
        <w:ind w:firstLine="562"/>
        <w:rPr>
          <w:rFonts w:cs="Times New Roman"/>
        </w:rPr>
      </w:pPr>
      <w:r>
        <w:rPr>
          <w:rFonts w:cs="Times New Roman"/>
        </w:rPr>
        <w:t>（1）理工科特色</w:t>
      </w:r>
    </w:p>
    <w:p>
      <w:pPr>
        <w:keepNext/>
        <w:keepLines/>
        <w:spacing w:line="540" w:lineRule="exact"/>
        <w:ind w:firstLine="560" w:firstLineChars="200"/>
        <w:rPr>
          <w:rFonts w:ascii="Times New Roman" w:hAnsi="Times New Roman" w:eastAsia="仿宋" w:cs="Times New Roman"/>
          <w:bCs/>
          <w:kern w:val="0"/>
          <w:sz w:val="28"/>
          <w:szCs w:val="28"/>
          <w:lang w:bidi="ar"/>
        </w:rPr>
      </w:pPr>
      <w:r>
        <w:rPr>
          <w:rFonts w:ascii="Times New Roman" w:hAnsi="Times New Roman" w:eastAsia="仿宋" w:cs="Times New Roman"/>
          <w:bCs/>
          <w:kern w:val="0"/>
          <w:sz w:val="28"/>
          <w:szCs w:val="28"/>
          <w:lang w:bidi="ar"/>
        </w:rPr>
        <w:t>围绕惠州市电子信息产业人才需求，探索了围绕电子信息产业的研发、服务和应用的主链路，形成一个核心专业群和三个辐射服务专业群、一个辐射应用专业群的格局，构建了对接电子信息产业的“一链路、一核心、四辐射”的专业集群模式。学校专业集群的建设与广东十大</w:t>
      </w:r>
      <w:r>
        <w:rPr>
          <w:rFonts w:hint="eastAsia" w:ascii="Times New Roman" w:hAnsi="Times New Roman" w:eastAsia="仿宋" w:cs="Times New Roman"/>
          <w:bCs/>
          <w:kern w:val="0"/>
          <w:sz w:val="28"/>
          <w:szCs w:val="28"/>
          <w:lang w:bidi="ar"/>
        </w:rPr>
        <w:t>支柱</w:t>
      </w:r>
      <w:r>
        <w:rPr>
          <w:rFonts w:ascii="Times New Roman" w:hAnsi="Times New Roman" w:eastAsia="仿宋" w:cs="Times New Roman"/>
          <w:bCs/>
          <w:kern w:val="0"/>
          <w:sz w:val="28"/>
          <w:szCs w:val="28"/>
          <w:lang w:bidi="ar"/>
        </w:rPr>
        <w:t>、九大战略新兴、六大未来和十大重大科技产业集群密切契合，与大湾区国家战略同行，与区域经济发展精准对接。重点发展高端装备制造、智能制造、新一代信息技术、人工智能、绿色农业等战略性新兴产业所需专业</w:t>
      </w:r>
      <w:r>
        <w:rPr>
          <w:rFonts w:hint="eastAsia" w:ascii="Times New Roman" w:hAnsi="Times New Roman" w:eastAsia="仿宋" w:cs="Times New Roman"/>
          <w:bCs/>
          <w:kern w:val="0"/>
          <w:sz w:val="28"/>
          <w:szCs w:val="28"/>
          <w:lang w:bidi="ar"/>
        </w:rPr>
        <w:t>，</w:t>
      </w:r>
      <w:r>
        <w:rPr>
          <w:rFonts w:ascii="Times New Roman" w:hAnsi="Times New Roman" w:eastAsia="仿宋" w:cs="Times New Roman"/>
          <w:bCs/>
          <w:kern w:val="0"/>
          <w:sz w:val="28"/>
          <w:szCs w:val="28"/>
          <w:lang w:bidi="ar"/>
        </w:rPr>
        <w:t>大力发展数字贸易等现代服务业所需专业。</w:t>
      </w:r>
    </w:p>
    <w:p>
      <w:pPr>
        <w:keepNext/>
        <w:keepLines/>
        <w:spacing w:line="540" w:lineRule="exact"/>
        <w:ind w:firstLine="560" w:firstLineChars="200"/>
        <w:rPr>
          <w:rStyle w:val="37"/>
          <w:rFonts w:cs="Times New Roman"/>
        </w:rPr>
      </w:pPr>
      <w:r>
        <w:rPr>
          <w:rFonts w:ascii="Times New Roman" w:hAnsi="Times New Roman" w:eastAsia="仿宋" w:cs="Times New Roman"/>
          <w:bCs/>
          <w:kern w:val="0"/>
          <w:sz w:val="28"/>
          <w:szCs w:val="28"/>
          <w:lang w:bidi="ar"/>
        </w:rPr>
        <w:t>学校现有23个专业，其中理工科专业14个、农科专业5个、商科专业4个，理工科专业占比82.6%；拥有应用电子技术、商务数据分析与应用等2个省级高水平高职专业群和电子与信息技术1个省级中职“双精准”专业。</w:t>
      </w:r>
    </w:p>
    <w:p>
      <w:pPr>
        <w:pStyle w:val="5"/>
        <w:ind w:firstLine="562"/>
        <w:rPr>
          <w:rFonts w:cs="Times New Roman"/>
        </w:rPr>
      </w:pPr>
      <w:r>
        <w:rPr>
          <w:rFonts w:cs="Times New Roman"/>
        </w:rPr>
        <w:t>（2）涉农特色</w:t>
      </w:r>
    </w:p>
    <w:p>
      <w:pPr>
        <w:spacing w:line="540" w:lineRule="exact"/>
        <w:ind w:firstLine="560" w:firstLineChars="200"/>
        <w:rPr>
          <w:rFonts w:ascii="Times New Roman" w:hAnsi="Times New Roman" w:eastAsia="仿宋" w:cs="Times New Roman"/>
          <w:bCs/>
          <w:kern w:val="0"/>
          <w:sz w:val="28"/>
          <w:szCs w:val="28"/>
          <w:lang w:bidi="ar"/>
        </w:rPr>
      </w:pPr>
      <w:r>
        <w:rPr>
          <w:rFonts w:hint="eastAsia" w:ascii="Times New Roman" w:hAnsi="Times New Roman" w:eastAsia="仿宋" w:cs="Times New Roman"/>
          <w:bCs/>
          <w:kern w:val="0"/>
          <w:sz w:val="28"/>
          <w:szCs w:val="28"/>
          <w:lang w:bidi="ar"/>
        </w:rPr>
        <w:t>学校农类专业办学历史悠久，现保留开设园艺技术、园林技术、动物医学、畜牧兽医、宠物医疗技术5个涉农专业。学校依托农业专业优势，紧紧围绕转型升级对新时代农业技术技能人才的需要，创新构建“产研融教”培养区域种养技术技能人才的实施方案，将农耕文化、农业生产及应用性研究等与教学深度融合，培养了大批“有文化、懂技术、善经营、会管理”的时代新农人。学校建有鸡枞菌工程中心和植物组织培养中心，是惠州市农业服务的实践基地，也是惠州特色农业科技创新研究中心的主要组成部分。学校农业科技特派员团队，精准帮扶博罗石坝、柏塘、横河镇、龙门龙田、永汉、龙潭、惠阳沙田等共7个镇，涵盖农业种养、农产品销售、农业信息化等技术帮扶。</w:t>
      </w:r>
    </w:p>
    <w:p>
      <w:pPr>
        <w:spacing w:line="540" w:lineRule="exact"/>
        <w:ind w:firstLine="560" w:firstLineChars="200"/>
        <w:rPr>
          <w:rFonts w:ascii="Times New Roman" w:hAnsi="Times New Roman" w:eastAsia="仿宋" w:cs="Times New Roman"/>
          <w:bCs/>
          <w:kern w:val="0"/>
          <w:sz w:val="28"/>
          <w:szCs w:val="28"/>
          <w:lang w:bidi="ar"/>
        </w:rPr>
      </w:pPr>
      <w:r>
        <w:rPr>
          <w:rFonts w:hint="eastAsia" w:ascii="Times New Roman" w:hAnsi="Times New Roman" w:eastAsia="仿宋" w:cs="Times New Roman"/>
          <w:bCs/>
          <w:kern w:val="0"/>
          <w:sz w:val="28"/>
          <w:szCs w:val="28"/>
          <w:lang w:bidi="ar"/>
        </w:rPr>
        <w:t>学校是“首批国家星火计划农民科技培训学校</w:t>
      </w:r>
      <w:r>
        <w:rPr>
          <w:rFonts w:hint="eastAsia" w:ascii="Times New Roman" w:hAnsi="Times New Roman" w:eastAsia="仿宋" w:cs="Times New Roman"/>
          <w:bCs/>
          <w:kern w:val="0"/>
          <w:sz w:val="28"/>
          <w:szCs w:val="28"/>
          <w:lang w:eastAsia="zh-CN" w:bidi="ar"/>
        </w:rPr>
        <w:t>”“</w:t>
      </w:r>
      <w:r>
        <w:rPr>
          <w:rFonts w:hint="eastAsia" w:ascii="Times New Roman" w:hAnsi="Times New Roman" w:eastAsia="仿宋" w:cs="Times New Roman"/>
          <w:bCs/>
          <w:kern w:val="0"/>
          <w:sz w:val="28"/>
          <w:szCs w:val="28"/>
          <w:lang w:bidi="ar"/>
        </w:rPr>
        <w:t>广东省高素质农民培训示范基地”“广东省农业人才实用培训基地”。学校承接的</w:t>
      </w:r>
      <w:r>
        <w:rPr>
          <w:rFonts w:ascii="Times New Roman" w:hAnsi="Times New Roman" w:eastAsia="仿宋" w:cs="Times New Roman"/>
          <w:bCs/>
          <w:kern w:val="0"/>
          <w:sz w:val="28"/>
          <w:szCs w:val="28"/>
          <w:lang w:bidi="ar"/>
        </w:rPr>
        <w:t>农业经理人培训项目，是由中央财政支持，广东省农业农村厅主办，惠州市农业农村局指导开展的高素质农民培育计划项目，重点面向农业企业和新型农业经营服务主体的经营管理人员，进行能力提升培训。</w:t>
      </w:r>
    </w:p>
    <w:p>
      <w:pPr>
        <w:spacing w:line="540" w:lineRule="exact"/>
        <w:ind w:firstLine="560" w:firstLineChars="200"/>
        <w:rPr>
          <w:rFonts w:ascii="Times New Roman" w:hAnsi="Times New Roman" w:eastAsia="仿宋" w:cs="Times New Roman"/>
          <w:bCs/>
          <w:kern w:val="0"/>
          <w:sz w:val="28"/>
          <w:szCs w:val="28"/>
          <w:lang w:bidi="ar"/>
        </w:rPr>
      </w:pPr>
      <w:r>
        <w:rPr>
          <w:rFonts w:hint="eastAsia" w:ascii="Times New Roman" w:hAnsi="Times New Roman" w:eastAsia="仿宋" w:cs="Times New Roman"/>
          <w:bCs/>
          <w:kern w:val="0"/>
          <w:sz w:val="28"/>
          <w:szCs w:val="28"/>
          <w:lang w:bidi="ar"/>
        </w:rPr>
        <w:t>2020 年 12 月 7 日和 8 日，惠州市电视台连续两天以“注重一二三产业融合，增强发展动能，为美丽乡村建设提供强有力的保障”和“让更多的高素质人才落户乡村，推动人才强农”为主题对我校服务乡村振兴进行报道。2022年11月1日，《中国教育报》刊登我校产研融教培养区域种养技术技能人才经验。</w:t>
      </w:r>
    </w:p>
    <w:p>
      <w:pPr>
        <w:pStyle w:val="5"/>
        <w:ind w:firstLine="562"/>
        <w:rPr>
          <w:rFonts w:cs="Times New Roman"/>
        </w:rPr>
      </w:pPr>
      <w:r>
        <w:rPr>
          <w:rFonts w:cs="Times New Roman"/>
        </w:rPr>
        <w:t>（3）军民融合特色</w:t>
      </w:r>
    </w:p>
    <w:p>
      <w:pPr>
        <w:spacing w:line="540" w:lineRule="exact"/>
        <w:ind w:firstLine="560" w:firstLineChars="200"/>
        <w:rPr>
          <w:rFonts w:ascii="Times New Roman" w:hAnsi="Times New Roman" w:eastAsia="仿宋" w:cs="Times New Roman"/>
          <w:sz w:val="28"/>
        </w:rPr>
      </w:pPr>
      <w:r>
        <w:rPr>
          <w:rFonts w:ascii="Times New Roman" w:hAnsi="Times New Roman" w:eastAsia="仿宋" w:cs="Times New Roman"/>
          <w:sz w:val="28"/>
        </w:rPr>
        <w:t>学校党委一直高度重视国防教育工作，2019年起在人文学院设立军事理论教研室，组建育人队伍，搭建育人平台，定期组织教师集体备课和参加业务培训学习，不断提升军事理论课教师的教学能力和水平。我校多次荣获“广东省国防教育工作先进单位</w:t>
      </w:r>
      <w:r>
        <w:rPr>
          <w:rFonts w:hint="eastAsia" w:ascii="Times New Roman" w:hAnsi="Times New Roman" w:eastAsia="仿宋" w:cs="Times New Roman"/>
          <w:sz w:val="28"/>
        </w:rPr>
        <w:t>”“</w:t>
      </w:r>
      <w:r>
        <w:rPr>
          <w:rFonts w:ascii="Times New Roman" w:hAnsi="Times New Roman" w:eastAsia="仿宋" w:cs="Times New Roman"/>
          <w:sz w:val="28"/>
        </w:rPr>
        <w:t>广东省优秀高校军事教研室”称号，多人被评为</w:t>
      </w:r>
      <w:r>
        <w:rPr>
          <w:rFonts w:hint="eastAsia" w:ascii="Times New Roman" w:hAnsi="Times New Roman" w:eastAsia="仿宋" w:cs="Times New Roman"/>
          <w:sz w:val="28"/>
          <w:lang w:eastAsia="zh-CN"/>
        </w:rPr>
        <w:t>“</w:t>
      </w:r>
      <w:r>
        <w:rPr>
          <w:rFonts w:ascii="Times New Roman" w:hAnsi="Times New Roman" w:eastAsia="仿宋" w:cs="Times New Roman"/>
          <w:sz w:val="28"/>
        </w:rPr>
        <w:t>广东省国防教育学会工作先进个人</w:t>
      </w:r>
      <w:r>
        <w:rPr>
          <w:rFonts w:hint="eastAsia" w:ascii="Times New Roman" w:hAnsi="Times New Roman" w:eastAsia="仿宋" w:cs="Times New Roman"/>
          <w:sz w:val="28"/>
          <w:lang w:eastAsia="zh-CN"/>
        </w:rPr>
        <w:t>”</w:t>
      </w:r>
      <w:r>
        <w:rPr>
          <w:rFonts w:ascii="Times New Roman" w:hAnsi="Times New Roman" w:eastAsia="仿宋" w:cs="Times New Roman"/>
          <w:sz w:val="28"/>
        </w:rPr>
        <w:t>，我校也入围广东省国防教育学会</w:t>
      </w:r>
      <w:r>
        <w:rPr>
          <w:rFonts w:hint="eastAsia" w:ascii="Times New Roman" w:hAnsi="Times New Roman" w:eastAsia="仿宋" w:cs="Times New Roman"/>
          <w:sz w:val="28"/>
          <w:lang w:eastAsia="zh-CN"/>
        </w:rPr>
        <w:t>“</w:t>
      </w:r>
      <w:r>
        <w:rPr>
          <w:rFonts w:ascii="Times New Roman" w:hAnsi="Times New Roman" w:eastAsia="仿宋" w:cs="Times New Roman"/>
          <w:sz w:val="28"/>
        </w:rPr>
        <w:t>首批省级教研小组</w:t>
      </w:r>
      <w:r>
        <w:rPr>
          <w:rFonts w:hint="eastAsia" w:ascii="Times New Roman" w:hAnsi="Times New Roman" w:eastAsia="仿宋" w:cs="Times New Roman"/>
          <w:sz w:val="28"/>
          <w:lang w:eastAsia="zh-CN"/>
        </w:rPr>
        <w:t>”</w:t>
      </w:r>
      <w:r>
        <w:rPr>
          <w:rFonts w:ascii="Times New Roman" w:hAnsi="Times New Roman" w:eastAsia="仿宋" w:cs="Times New Roman"/>
          <w:sz w:val="28"/>
        </w:rPr>
        <w:t>。我校教师蝉联2021、2022年全省军事课教师教学基本功比赛一等奖，是广东省唯一一所蝉联此项赛事一等奖的高校。</w:t>
      </w:r>
    </w:p>
    <w:p>
      <w:pPr>
        <w:spacing w:line="540" w:lineRule="exact"/>
        <w:ind w:firstLine="560" w:firstLineChars="200"/>
        <w:rPr>
          <w:rFonts w:ascii="Times New Roman" w:hAnsi="Times New Roman" w:eastAsia="仿宋" w:cs="Times New Roman"/>
          <w:sz w:val="28"/>
        </w:rPr>
      </w:pPr>
      <w:r>
        <w:rPr>
          <w:rFonts w:ascii="Times New Roman" w:hAnsi="Times New Roman" w:eastAsia="仿宋" w:cs="Times New Roman"/>
          <w:sz w:val="28"/>
        </w:rPr>
        <w:t>学校积极参与</w:t>
      </w:r>
      <w:r>
        <w:rPr>
          <w:rFonts w:hint="eastAsia" w:ascii="Times New Roman" w:hAnsi="Times New Roman" w:eastAsia="仿宋" w:cs="Times New Roman"/>
          <w:sz w:val="28"/>
        </w:rPr>
        <w:t>广东省</w:t>
      </w:r>
      <w:r>
        <w:rPr>
          <w:rFonts w:ascii="Times New Roman" w:hAnsi="Times New Roman" w:eastAsia="仿宋" w:cs="Times New Roman"/>
          <w:sz w:val="28"/>
        </w:rPr>
        <w:t>退役军人现代学徒制专项试点，202</w:t>
      </w:r>
      <w:r>
        <w:rPr>
          <w:rFonts w:hint="eastAsia" w:ascii="Times New Roman" w:hAnsi="Times New Roman" w:eastAsia="仿宋" w:cs="Times New Roman"/>
          <w:sz w:val="28"/>
        </w:rPr>
        <w:t>2</w:t>
      </w:r>
      <w:r>
        <w:rPr>
          <w:rFonts w:ascii="Times New Roman" w:hAnsi="Times New Roman" w:eastAsia="仿宋" w:cs="Times New Roman"/>
          <w:sz w:val="28"/>
        </w:rPr>
        <w:t>年、</w:t>
      </w:r>
      <w:r>
        <w:rPr>
          <w:rFonts w:hint="eastAsia" w:ascii="Times New Roman" w:hAnsi="Times New Roman" w:eastAsia="仿宋" w:cs="Times New Roman"/>
          <w:sz w:val="28"/>
        </w:rPr>
        <w:t>2023年</w:t>
      </w:r>
      <w:r>
        <w:rPr>
          <w:rFonts w:ascii="Times New Roman" w:hAnsi="Times New Roman" w:eastAsia="仿宋" w:cs="Times New Roman"/>
          <w:sz w:val="28"/>
        </w:rPr>
        <w:t>招收退役军人现代学徒制学生139人、248人。</w:t>
      </w:r>
      <w:r>
        <w:rPr>
          <w:rFonts w:hint="eastAsia" w:ascii="Times New Roman" w:hAnsi="Times New Roman" w:eastAsia="仿宋" w:cs="Times New Roman"/>
          <w:sz w:val="28"/>
        </w:rPr>
        <w:t>自 2007年，在市委市政府的大力支持下，经省民政厅、</w:t>
      </w:r>
      <w:r>
        <w:rPr>
          <w:rFonts w:hint="eastAsia" w:ascii="Times New Roman" w:hAnsi="Times New Roman" w:eastAsia="仿宋" w:cs="Times New Roman"/>
          <w:sz w:val="28"/>
          <w:lang w:eastAsia="zh-CN"/>
        </w:rPr>
        <w:t>社会保障厅</w:t>
      </w:r>
      <w:r>
        <w:rPr>
          <w:rFonts w:hint="eastAsia" w:ascii="Times New Roman" w:hAnsi="Times New Roman" w:eastAsia="仿宋" w:cs="Times New Roman"/>
          <w:sz w:val="28"/>
        </w:rPr>
        <w:t>和教育厅联合批准，学校开始承接退役军人教育培训工作，已连续15年培养培训退役军人超过10000人。学</w:t>
      </w:r>
      <w:r>
        <w:rPr>
          <w:rFonts w:hint="eastAsia" w:ascii="Times New Roman" w:hAnsi="Times New Roman" w:eastAsia="仿宋" w:cs="Times New Roman"/>
          <w:sz w:val="28"/>
          <w:lang w:eastAsia="zh-CN"/>
        </w:rPr>
        <w:t>校是</w:t>
      </w:r>
      <w:r>
        <w:rPr>
          <w:rFonts w:hint="eastAsia" w:ascii="Times New Roman" w:hAnsi="Times New Roman" w:eastAsia="仿宋" w:cs="Times New Roman"/>
          <w:sz w:val="28"/>
        </w:rPr>
        <w:t>惠州市退役军人教育培训（实训）基地，是惠州地区唯一一所能颁发全日制学历证书的退役军人培训基地，可以为退役军人同时提供技能培训和学历教育培养。</w:t>
      </w:r>
    </w:p>
    <w:p>
      <w:pPr>
        <w:spacing w:line="540" w:lineRule="exact"/>
        <w:ind w:firstLine="560" w:firstLineChars="200"/>
        <w:rPr>
          <w:rFonts w:ascii="Times New Roman" w:hAnsi="Times New Roman" w:eastAsia="仿宋" w:cs="Times New Roman"/>
          <w:sz w:val="28"/>
        </w:rPr>
      </w:pPr>
      <w:r>
        <w:rPr>
          <w:rFonts w:hint="eastAsia" w:ascii="Times New Roman" w:hAnsi="Times New Roman" w:eastAsia="仿宋" w:cs="Times New Roman"/>
          <w:sz w:val="28"/>
        </w:rPr>
        <w:t>2022年6月，学校成立</w:t>
      </w:r>
      <w:r>
        <w:rPr>
          <w:rFonts w:ascii="Times New Roman" w:hAnsi="Times New Roman" w:eastAsia="仿宋" w:cs="Times New Roman"/>
          <w:sz w:val="28"/>
        </w:rPr>
        <w:t>八一学社。该学社是</w:t>
      </w:r>
      <w:r>
        <w:rPr>
          <w:rFonts w:hint="eastAsia" w:ascii="Times New Roman" w:hAnsi="Times New Roman" w:eastAsia="仿宋" w:cs="Times New Roman"/>
          <w:sz w:val="28"/>
        </w:rPr>
        <w:t>在学校</w:t>
      </w:r>
      <w:r>
        <w:rPr>
          <w:rFonts w:ascii="Times New Roman" w:hAnsi="Times New Roman" w:eastAsia="仿宋" w:cs="Times New Roman"/>
          <w:sz w:val="28"/>
        </w:rPr>
        <w:t>人民武装部和校团委领导下，由在校退役大学生发起并成立的学生组织，旨在通过开展一系列以国防教育为主题的活动，提高学生爱国情怀、军事技能及理论，激发学生参军热情，丰富学生的课余生活和校园文化。近</w:t>
      </w:r>
      <w:r>
        <w:rPr>
          <w:rFonts w:hint="eastAsia" w:ascii="Times New Roman" w:hAnsi="Times New Roman" w:eastAsia="仿宋" w:cs="Times New Roman"/>
          <w:sz w:val="28"/>
        </w:rPr>
        <w:t>3年</w:t>
      </w:r>
      <w:r>
        <w:rPr>
          <w:rFonts w:ascii="Times New Roman" w:hAnsi="Times New Roman" w:eastAsia="仿宋" w:cs="Times New Roman"/>
          <w:sz w:val="28"/>
        </w:rPr>
        <w:t>，学校总入伍学生503人，其中毕业生296人，在校生207人。</w:t>
      </w:r>
    </w:p>
    <w:bookmarkEnd w:id="4"/>
    <w:p>
      <w:pPr>
        <w:pStyle w:val="3"/>
        <w:ind w:firstLine="643"/>
        <w:rPr>
          <w:rFonts w:ascii="Times New Roman" w:hAnsi="Times New Roman" w:cs="Times New Roman"/>
        </w:rPr>
      </w:pPr>
      <w:bookmarkStart w:id="6" w:name="_Toc164347814"/>
      <w:r>
        <w:rPr>
          <w:rFonts w:ascii="Times New Roman" w:hAnsi="Times New Roman" w:cs="Times New Roman"/>
        </w:rPr>
        <w:t>（三）机遇和挑战</w:t>
      </w:r>
      <w:bookmarkEnd w:id="6"/>
      <w:r>
        <w:rPr>
          <w:rFonts w:ascii="Times New Roman" w:hAnsi="Times New Roman" w:cs="Times New Roman"/>
        </w:rPr>
        <w:t xml:space="preserve"> </w:t>
      </w:r>
    </w:p>
    <w:p>
      <w:pPr>
        <w:pStyle w:val="4"/>
      </w:pPr>
      <w:bookmarkStart w:id="7" w:name="_Toc164347815"/>
      <w:bookmarkStart w:id="8" w:name="_Toc3976"/>
      <w:r>
        <w:t>1.机遇</w:t>
      </w:r>
      <w:bookmarkEnd w:id="7"/>
    </w:p>
    <w:p>
      <w:pPr>
        <w:pStyle w:val="5"/>
        <w:ind w:firstLine="562"/>
        <w:rPr>
          <w:rFonts w:cs="Times New Roman"/>
        </w:rPr>
      </w:pPr>
      <w:r>
        <w:rPr>
          <w:rFonts w:cs="Times New Roman"/>
        </w:rPr>
        <w:t>（1）职教改革为学校跨越发展提供可能</w:t>
      </w:r>
    </w:p>
    <w:p>
      <w:pPr>
        <w:widowControl/>
        <w:topLinePunct/>
        <w:spacing w:line="540" w:lineRule="exact"/>
        <w:ind w:firstLine="560" w:firstLineChars="200"/>
        <w:rPr>
          <w:rFonts w:ascii="仿宋" w:hAnsi="仿宋" w:eastAsia="仿宋" w:cs="仿宋"/>
          <w:kern w:val="0"/>
          <w:sz w:val="28"/>
          <w:szCs w:val="28"/>
          <w:lang w:bidi="ar"/>
        </w:rPr>
      </w:pPr>
      <w:r>
        <w:rPr>
          <w:rFonts w:ascii="Times New Roman" w:hAnsi="Times New Roman" w:eastAsia="仿宋" w:cs="Times New Roman"/>
          <w:kern w:val="0"/>
          <w:sz w:val="28"/>
          <w:szCs w:val="28"/>
          <w:lang w:bidi="ar"/>
        </w:rPr>
        <w:t>2019年1月，国务院印发《国家职业教育改革实施方案》，明确提出</w:t>
      </w:r>
      <w:r>
        <w:rPr>
          <w:rFonts w:hint="eastAsia" w:ascii="Times New Roman" w:hAnsi="Times New Roman" w:eastAsia="仿宋" w:cs="Times New Roman"/>
          <w:kern w:val="0"/>
          <w:sz w:val="28"/>
          <w:szCs w:val="28"/>
          <w:lang w:eastAsia="zh-CN" w:bidi="ar"/>
        </w:rPr>
        <w:t>“</w:t>
      </w:r>
      <w:r>
        <w:rPr>
          <w:rFonts w:ascii="Times New Roman" w:hAnsi="Times New Roman" w:eastAsia="仿宋" w:cs="Times New Roman"/>
          <w:kern w:val="0"/>
          <w:sz w:val="28"/>
          <w:szCs w:val="28"/>
          <w:lang w:bidi="ar"/>
        </w:rPr>
        <w:t>推进高等职业教育高质量发展，经过5—10年左右时间，职业教育基本完成由政府举办</w:t>
      </w:r>
      <w:r>
        <w:rPr>
          <w:rFonts w:hint="eastAsia" w:ascii="仿宋" w:hAnsi="仿宋" w:eastAsia="仿宋" w:cs="仿宋"/>
          <w:kern w:val="0"/>
          <w:sz w:val="28"/>
          <w:szCs w:val="28"/>
          <w:lang w:bidi="ar"/>
        </w:rPr>
        <w:t>为主向政府统筹管理、社会多元办学的格局转变，由追求规模扩张向提高质量转变，由参照普通教育办学模式向企业社会参与、专业特色鲜明的类型教育转变”，职业教育发展从此进入新阶段。</w:t>
      </w:r>
    </w:p>
    <w:p>
      <w:pPr>
        <w:widowControl/>
        <w:topLinePunct/>
        <w:spacing w:line="540" w:lineRule="exact"/>
        <w:ind w:firstLine="560" w:firstLineChars="200"/>
        <w:rPr>
          <w:rFonts w:ascii="仿宋" w:hAnsi="仿宋" w:eastAsia="仿宋" w:cs="仿宋"/>
          <w:kern w:val="0"/>
          <w:sz w:val="28"/>
          <w:szCs w:val="28"/>
          <w:lang w:bidi="ar"/>
        </w:rPr>
      </w:pPr>
      <w:r>
        <w:rPr>
          <w:rFonts w:hint="eastAsia" w:ascii="仿宋" w:hAnsi="仿宋" w:eastAsia="仿宋" w:cs="仿宋"/>
          <w:kern w:val="0"/>
          <w:sz w:val="28"/>
          <w:szCs w:val="28"/>
          <w:lang w:bidi="ar"/>
        </w:rPr>
        <w:t>2021年4月13日，习近平总书记对全国职业教育工作作出重要指示强调，在全面建设社会主义现代化国家新征程中，职业教育前途广阔、大有可为。习近平总书记强调，要加快构建现代职业教育体系，培养更多高素质技术技能人才、能工巧匠、大国工匠。</w:t>
      </w:r>
    </w:p>
    <w:p>
      <w:pPr>
        <w:widowControl/>
        <w:topLinePunct/>
        <w:spacing w:line="540" w:lineRule="exact"/>
        <w:ind w:firstLine="560" w:firstLineChars="200"/>
        <w:rPr>
          <w:rFonts w:ascii="Times New Roman" w:hAnsi="Times New Roman" w:eastAsia="仿宋" w:cs="Times New Roman"/>
          <w:kern w:val="0"/>
          <w:sz w:val="28"/>
          <w:szCs w:val="28"/>
          <w:lang w:bidi="ar"/>
        </w:rPr>
      </w:pPr>
      <w:r>
        <w:rPr>
          <w:rFonts w:hint="eastAsia" w:ascii="仿宋" w:hAnsi="仿宋" w:eastAsia="仿宋" w:cs="仿宋"/>
          <w:kern w:val="0"/>
          <w:sz w:val="28"/>
          <w:szCs w:val="28"/>
          <w:lang w:bidi="ar"/>
        </w:rPr>
        <w:t>在新的历史</w:t>
      </w:r>
      <w:r>
        <w:rPr>
          <w:rFonts w:ascii="Times New Roman" w:hAnsi="Times New Roman" w:eastAsia="仿宋" w:cs="Times New Roman"/>
          <w:kern w:val="0"/>
          <w:sz w:val="28"/>
          <w:szCs w:val="28"/>
          <w:lang w:bidi="ar"/>
        </w:rPr>
        <w:t>阶段，在职业教育大改革起始期，学校最大的机遇就是能够和所有高职院校站在同一起跑线上，形成特色，同台竞争。</w:t>
      </w:r>
    </w:p>
    <w:p>
      <w:pPr>
        <w:pStyle w:val="5"/>
        <w:ind w:firstLine="562"/>
        <w:rPr>
          <w:rFonts w:cs="Times New Roman"/>
        </w:rPr>
      </w:pPr>
      <w:r>
        <w:rPr>
          <w:rFonts w:cs="Times New Roman"/>
        </w:rPr>
        <w:t>（2）广东省委</w:t>
      </w:r>
      <w:r>
        <w:rPr>
          <w:rFonts w:hint="eastAsia" w:cs="Times New Roman"/>
        </w:rPr>
        <w:t>1310部署关于“新突破”的要求和惠州加快建设新型工业强市为理工科院校发展提供机遇</w:t>
      </w:r>
      <w:r>
        <w:rPr>
          <w:rFonts w:cs="Times New Roman"/>
        </w:rPr>
        <w:t xml:space="preserve"> </w:t>
      </w:r>
    </w:p>
    <w:p>
      <w:pPr>
        <w:adjustRightInd w:val="0"/>
        <w:spacing w:line="540" w:lineRule="exact"/>
        <w:ind w:firstLine="560" w:firstLineChars="200"/>
        <w:rPr>
          <w:rFonts w:ascii="Times New Roman" w:hAnsi="Times New Roman" w:eastAsia="仿宋" w:cs="Times New Roman"/>
          <w:kern w:val="0"/>
          <w:sz w:val="28"/>
          <w:szCs w:val="28"/>
          <w:lang w:bidi="ar"/>
        </w:rPr>
      </w:pPr>
      <w:r>
        <w:rPr>
          <w:rFonts w:ascii="Times New Roman" w:hAnsi="Times New Roman" w:eastAsia="仿宋" w:cs="Times New Roman"/>
          <w:kern w:val="0"/>
          <w:sz w:val="28"/>
          <w:szCs w:val="28"/>
          <w:lang w:bidi="ar"/>
        </w:rPr>
        <w:t>20</w:t>
      </w:r>
      <w:r>
        <w:rPr>
          <w:rFonts w:hint="eastAsia" w:ascii="Times New Roman" w:hAnsi="Times New Roman" w:eastAsia="仿宋" w:cs="Times New Roman"/>
          <w:kern w:val="0"/>
          <w:sz w:val="28"/>
          <w:szCs w:val="28"/>
          <w:lang w:bidi="ar"/>
        </w:rPr>
        <w:t>23年6月20日，</w:t>
      </w:r>
      <w:r>
        <w:rPr>
          <w:rFonts w:ascii="Times New Roman" w:hAnsi="Times New Roman" w:eastAsia="仿宋" w:cs="Times New Roman"/>
          <w:kern w:val="0"/>
          <w:sz w:val="28"/>
          <w:szCs w:val="28"/>
          <w:lang w:bidi="ar"/>
        </w:rPr>
        <w:t>中共广东省委十三届三次全会作出了</w:t>
      </w:r>
      <w:r>
        <w:rPr>
          <w:rFonts w:hint="eastAsia" w:ascii="Times New Roman" w:hAnsi="Times New Roman" w:eastAsia="仿宋" w:cs="Times New Roman"/>
          <w:kern w:val="0"/>
          <w:sz w:val="28"/>
          <w:szCs w:val="28"/>
          <w:lang w:eastAsia="zh-CN" w:bidi="ar"/>
        </w:rPr>
        <w:t>“</w:t>
      </w:r>
      <w:r>
        <w:rPr>
          <w:rFonts w:ascii="Times New Roman" w:hAnsi="Times New Roman" w:eastAsia="仿宋" w:cs="Times New Roman"/>
          <w:kern w:val="0"/>
          <w:sz w:val="28"/>
          <w:szCs w:val="28"/>
          <w:lang w:bidi="ar"/>
        </w:rPr>
        <w:t>锚定一个目标，激活三大动力，奋力实现十大新突破</w:t>
      </w:r>
      <w:r>
        <w:rPr>
          <w:rFonts w:hint="eastAsia" w:ascii="Times New Roman" w:hAnsi="Times New Roman" w:eastAsia="仿宋" w:cs="Times New Roman"/>
          <w:kern w:val="0"/>
          <w:sz w:val="28"/>
          <w:szCs w:val="28"/>
          <w:lang w:eastAsia="zh-CN" w:bidi="ar"/>
        </w:rPr>
        <w:t>”</w:t>
      </w:r>
      <w:r>
        <w:rPr>
          <w:rFonts w:ascii="Times New Roman" w:hAnsi="Times New Roman" w:eastAsia="仿宋" w:cs="Times New Roman"/>
          <w:kern w:val="0"/>
          <w:sz w:val="28"/>
          <w:szCs w:val="28"/>
          <w:lang w:bidi="ar"/>
        </w:rPr>
        <w:t>的</w:t>
      </w:r>
      <w:r>
        <w:rPr>
          <w:rFonts w:hint="eastAsia" w:ascii="Times New Roman" w:hAnsi="Times New Roman" w:eastAsia="仿宋" w:cs="Times New Roman"/>
          <w:kern w:val="0"/>
          <w:sz w:val="28"/>
          <w:szCs w:val="28"/>
          <w:lang w:eastAsia="zh-CN" w:bidi="ar"/>
        </w:rPr>
        <w:t>“</w:t>
      </w:r>
      <w:r>
        <w:rPr>
          <w:rFonts w:ascii="Times New Roman" w:hAnsi="Times New Roman" w:eastAsia="仿宋" w:cs="Times New Roman"/>
          <w:kern w:val="0"/>
          <w:sz w:val="28"/>
          <w:szCs w:val="28"/>
          <w:lang w:bidi="ar"/>
        </w:rPr>
        <w:t>1310</w:t>
      </w:r>
      <w:r>
        <w:rPr>
          <w:rFonts w:hint="eastAsia" w:ascii="Times New Roman" w:hAnsi="Times New Roman" w:eastAsia="仿宋" w:cs="Times New Roman"/>
          <w:kern w:val="0"/>
          <w:sz w:val="28"/>
          <w:szCs w:val="28"/>
          <w:lang w:eastAsia="zh-CN" w:bidi="ar"/>
        </w:rPr>
        <w:t>”</w:t>
      </w:r>
      <w:r>
        <w:rPr>
          <w:rFonts w:ascii="Times New Roman" w:hAnsi="Times New Roman" w:eastAsia="仿宋" w:cs="Times New Roman"/>
          <w:kern w:val="0"/>
          <w:sz w:val="28"/>
          <w:szCs w:val="28"/>
          <w:lang w:bidi="ar"/>
        </w:rPr>
        <w:t>具体部署</w:t>
      </w:r>
      <w:r>
        <w:rPr>
          <w:rFonts w:hint="eastAsia" w:ascii="Times New Roman" w:hAnsi="Times New Roman" w:eastAsia="仿宋" w:cs="Times New Roman"/>
          <w:kern w:val="0"/>
          <w:sz w:val="28"/>
          <w:szCs w:val="28"/>
          <w:lang w:bidi="ar"/>
        </w:rPr>
        <w:t>。</w:t>
      </w:r>
      <w:r>
        <w:rPr>
          <w:rFonts w:ascii="Times New Roman" w:hAnsi="Times New Roman" w:eastAsia="仿宋" w:cs="Times New Roman"/>
          <w:kern w:val="0"/>
          <w:sz w:val="28"/>
          <w:szCs w:val="28"/>
          <w:lang w:bidi="ar"/>
        </w:rPr>
        <w:t>围绕</w:t>
      </w:r>
      <w:r>
        <w:rPr>
          <w:rFonts w:hint="eastAsia" w:ascii="Times New Roman" w:hAnsi="Times New Roman" w:eastAsia="仿宋" w:cs="Times New Roman"/>
          <w:kern w:val="0"/>
          <w:sz w:val="28"/>
          <w:szCs w:val="28"/>
          <w:lang w:eastAsia="zh-CN" w:bidi="ar"/>
        </w:rPr>
        <w:t>“</w:t>
      </w:r>
      <w:r>
        <w:rPr>
          <w:rFonts w:ascii="Times New Roman" w:hAnsi="Times New Roman" w:eastAsia="仿宋" w:cs="Times New Roman"/>
          <w:kern w:val="0"/>
          <w:sz w:val="28"/>
          <w:szCs w:val="28"/>
          <w:lang w:bidi="ar"/>
        </w:rPr>
        <w:t>十大新突破</w:t>
      </w:r>
      <w:r>
        <w:rPr>
          <w:rFonts w:hint="eastAsia" w:ascii="Times New Roman" w:hAnsi="Times New Roman" w:eastAsia="仿宋" w:cs="Times New Roman"/>
          <w:kern w:val="0"/>
          <w:sz w:val="28"/>
          <w:szCs w:val="28"/>
          <w:lang w:eastAsia="zh-CN" w:bidi="ar"/>
        </w:rPr>
        <w:t>”</w:t>
      </w:r>
      <w:r>
        <w:rPr>
          <w:rFonts w:ascii="Times New Roman" w:hAnsi="Times New Roman" w:eastAsia="仿宋" w:cs="Times New Roman"/>
          <w:kern w:val="0"/>
          <w:sz w:val="28"/>
          <w:szCs w:val="28"/>
          <w:lang w:bidi="ar"/>
        </w:rPr>
        <w:t>，全会强调，要始终坚持实体经济为本、制造业当家，在建设更具国际竞争力的现代化产业体系上取得新突破，深入实施大产业、大平台、大项目、大企业、大环境</w:t>
      </w:r>
      <w:r>
        <w:rPr>
          <w:rFonts w:hint="eastAsia" w:ascii="Times New Roman" w:hAnsi="Times New Roman" w:eastAsia="仿宋" w:cs="Times New Roman"/>
          <w:kern w:val="0"/>
          <w:sz w:val="28"/>
          <w:szCs w:val="28"/>
          <w:lang w:eastAsia="zh-CN" w:bidi="ar"/>
        </w:rPr>
        <w:t>“</w:t>
      </w:r>
      <w:r>
        <w:rPr>
          <w:rFonts w:ascii="Times New Roman" w:hAnsi="Times New Roman" w:eastAsia="仿宋" w:cs="Times New Roman"/>
          <w:kern w:val="0"/>
          <w:sz w:val="28"/>
          <w:szCs w:val="28"/>
          <w:lang w:bidi="ar"/>
        </w:rPr>
        <w:t>五大提升行动</w:t>
      </w:r>
      <w:r>
        <w:rPr>
          <w:rFonts w:hint="eastAsia" w:ascii="Times New Roman" w:hAnsi="Times New Roman" w:eastAsia="仿宋" w:cs="Times New Roman"/>
          <w:kern w:val="0"/>
          <w:sz w:val="28"/>
          <w:szCs w:val="28"/>
          <w:lang w:eastAsia="zh-CN" w:bidi="ar"/>
        </w:rPr>
        <w:t>”</w:t>
      </w:r>
      <w:r>
        <w:rPr>
          <w:rFonts w:ascii="Times New Roman" w:hAnsi="Times New Roman" w:eastAsia="仿宋" w:cs="Times New Roman"/>
          <w:kern w:val="0"/>
          <w:sz w:val="28"/>
          <w:szCs w:val="28"/>
          <w:lang w:bidi="ar"/>
        </w:rPr>
        <w:t>，坚持传统产业、新兴产业、未来产业并举，智能化、绿色化、融合化并进，抓项目、建平台、优环境并推，挺起广东现代化建设的产业</w:t>
      </w:r>
      <w:r>
        <w:rPr>
          <w:rFonts w:hint="eastAsia" w:ascii="Times New Roman" w:hAnsi="Times New Roman" w:eastAsia="仿宋" w:cs="Times New Roman"/>
          <w:kern w:val="0"/>
          <w:sz w:val="28"/>
          <w:szCs w:val="28"/>
          <w:lang w:eastAsia="zh-CN" w:bidi="ar"/>
        </w:rPr>
        <w:t>“</w:t>
      </w:r>
      <w:r>
        <w:rPr>
          <w:rFonts w:ascii="Times New Roman" w:hAnsi="Times New Roman" w:eastAsia="仿宋" w:cs="Times New Roman"/>
          <w:kern w:val="0"/>
          <w:sz w:val="28"/>
          <w:szCs w:val="28"/>
          <w:lang w:bidi="ar"/>
        </w:rPr>
        <w:t>脊梁</w:t>
      </w:r>
      <w:r>
        <w:rPr>
          <w:rFonts w:hint="eastAsia" w:ascii="Times New Roman" w:hAnsi="Times New Roman" w:eastAsia="仿宋" w:cs="Times New Roman"/>
          <w:kern w:val="0"/>
          <w:sz w:val="28"/>
          <w:szCs w:val="28"/>
          <w:lang w:eastAsia="zh-CN" w:bidi="ar"/>
        </w:rPr>
        <w:t>”</w:t>
      </w:r>
      <w:r>
        <w:rPr>
          <w:rFonts w:ascii="Times New Roman" w:hAnsi="Times New Roman" w:eastAsia="仿宋" w:cs="Times New Roman"/>
          <w:kern w:val="0"/>
          <w:sz w:val="28"/>
          <w:szCs w:val="28"/>
          <w:lang w:bidi="ar"/>
        </w:rPr>
        <w:t>。</w:t>
      </w:r>
    </w:p>
    <w:p>
      <w:pPr>
        <w:adjustRightInd w:val="0"/>
        <w:spacing w:line="540" w:lineRule="exact"/>
        <w:ind w:firstLine="560" w:firstLineChars="200"/>
        <w:rPr>
          <w:rFonts w:ascii="Times New Roman" w:hAnsi="Times New Roman" w:eastAsia="仿宋" w:cs="Times New Roman"/>
          <w:kern w:val="0"/>
          <w:sz w:val="28"/>
          <w:szCs w:val="28"/>
          <w:lang w:bidi="ar"/>
        </w:rPr>
      </w:pPr>
      <w:r>
        <w:rPr>
          <w:rFonts w:hint="eastAsia" w:ascii="Times New Roman" w:hAnsi="Times New Roman" w:eastAsia="仿宋" w:cs="Times New Roman"/>
          <w:kern w:val="0"/>
          <w:sz w:val="28"/>
          <w:szCs w:val="28"/>
          <w:lang w:bidi="ar"/>
        </w:rPr>
        <w:t>2023年1月，惠州印发</w:t>
      </w:r>
      <w:r>
        <w:rPr>
          <w:rFonts w:ascii="Times New Roman" w:hAnsi="Times New Roman" w:eastAsia="仿宋" w:cs="Times New Roman"/>
          <w:kern w:val="0"/>
          <w:sz w:val="28"/>
          <w:szCs w:val="28"/>
          <w:lang w:bidi="ar"/>
        </w:rPr>
        <w:t>《惠州市制造业高质量发展三年行动方案（2023</w:t>
      </w:r>
      <w:r>
        <w:rPr>
          <w:rFonts w:hint="eastAsia" w:ascii="Times New Roman" w:hAnsi="Times New Roman" w:eastAsia="仿宋" w:cs="Times New Roman"/>
          <w:kern w:val="0"/>
          <w:sz w:val="28"/>
          <w:szCs w:val="28"/>
          <w:lang w:eastAsia="zh-CN" w:bidi="ar"/>
        </w:rPr>
        <w:t>—</w:t>
      </w:r>
      <w:r>
        <w:rPr>
          <w:rFonts w:ascii="Times New Roman" w:hAnsi="Times New Roman" w:eastAsia="仿宋" w:cs="Times New Roman"/>
          <w:kern w:val="0"/>
          <w:sz w:val="28"/>
          <w:szCs w:val="28"/>
          <w:lang w:bidi="ar"/>
        </w:rPr>
        <w:t>2025年）》，提出到2025年，惠州基本建成具有国际影响力的先进制造业高地、制造业创新集聚地、制造业高水平开放合作先行地。</w:t>
      </w:r>
      <w:r>
        <w:rPr>
          <w:rFonts w:hint="eastAsia" w:ascii="Times New Roman" w:hAnsi="Times New Roman" w:eastAsia="仿宋" w:cs="Times New Roman"/>
          <w:kern w:val="0"/>
          <w:sz w:val="28"/>
          <w:szCs w:val="28"/>
          <w:lang w:bidi="ar"/>
        </w:rPr>
        <w:t>2023年11月22日，惠州市人民政府印发《惠州市促进制造业高质量发展若干措施（修订版）》，提出“加大制造业研发人才、产业发展人才和科技创新人才的引进培育力度” 。</w:t>
      </w:r>
    </w:p>
    <w:p>
      <w:pPr>
        <w:adjustRightInd w:val="0"/>
        <w:spacing w:line="540" w:lineRule="exact"/>
        <w:ind w:firstLine="560" w:firstLineChars="200"/>
        <w:rPr>
          <w:rFonts w:ascii="Times New Roman" w:hAnsi="Times New Roman" w:eastAsia="仿宋" w:cs="Times New Roman"/>
          <w:kern w:val="0"/>
          <w:sz w:val="28"/>
          <w:szCs w:val="28"/>
          <w:lang w:bidi="ar"/>
        </w:rPr>
      </w:pPr>
      <w:r>
        <w:rPr>
          <w:rFonts w:hint="eastAsia" w:ascii="Times New Roman" w:hAnsi="Times New Roman" w:eastAsia="仿宋" w:cs="Times New Roman"/>
          <w:kern w:val="0"/>
          <w:sz w:val="28"/>
          <w:szCs w:val="28"/>
          <w:lang w:bidi="ar"/>
        </w:rPr>
        <w:t>作为惠州唯一理工科高职院校，广东省坚持实体经济为本，制造业当家和惠州市推动制造业高质量发展为学校发展提供机遇。</w:t>
      </w:r>
    </w:p>
    <w:p>
      <w:pPr>
        <w:pStyle w:val="5"/>
        <w:ind w:firstLine="562"/>
        <w:rPr>
          <w:rFonts w:cs="Times New Roman"/>
        </w:rPr>
      </w:pPr>
      <w:r>
        <w:rPr>
          <w:rFonts w:cs="Times New Roman"/>
        </w:rPr>
        <w:t>（3）粤港澳大湾区电子信息产业快速发展为学校专业特色发展提供可能</w:t>
      </w:r>
    </w:p>
    <w:p>
      <w:pPr>
        <w:adjustRightInd w:val="0"/>
        <w:spacing w:line="540" w:lineRule="exact"/>
        <w:ind w:firstLine="560" w:firstLineChars="200"/>
        <w:rPr>
          <w:rFonts w:ascii="Times New Roman" w:hAnsi="Times New Roman" w:eastAsia="仿宋" w:cs="Times New Roman"/>
          <w:kern w:val="0"/>
          <w:sz w:val="28"/>
          <w:szCs w:val="28"/>
          <w:lang w:bidi="ar"/>
        </w:rPr>
      </w:pPr>
      <w:r>
        <w:rPr>
          <w:rFonts w:hint="eastAsia" w:ascii="Times New Roman" w:hAnsi="Times New Roman" w:eastAsia="仿宋" w:cs="Times New Roman"/>
          <w:kern w:val="0"/>
          <w:sz w:val="28"/>
          <w:szCs w:val="28"/>
          <w:lang w:bidi="ar"/>
        </w:rPr>
        <w:t>2023年6月，中共广东省委、广东省人民政府印发《广东省质量强省建设纲要》，提出</w:t>
      </w:r>
      <w:r>
        <w:rPr>
          <w:rFonts w:ascii="Times New Roman" w:hAnsi="Times New Roman" w:eastAsia="仿宋" w:cs="Times New Roman"/>
          <w:kern w:val="0"/>
          <w:sz w:val="28"/>
          <w:szCs w:val="28"/>
          <w:lang w:bidi="ar"/>
        </w:rPr>
        <w:t>要充分发挥粤港澳大湾区、深圳中国特色社会主义先行示范区</w:t>
      </w:r>
      <w:r>
        <w:rPr>
          <w:rFonts w:hint="eastAsia" w:ascii="Times New Roman" w:hAnsi="Times New Roman" w:eastAsia="仿宋" w:cs="Times New Roman"/>
          <w:kern w:val="0"/>
          <w:sz w:val="28"/>
          <w:szCs w:val="28"/>
          <w:lang w:eastAsia="zh-CN" w:bidi="ar"/>
        </w:rPr>
        <w:t>“</w:t>
      </w:r>
      <w:r>
        <w:rPr>
          <w:rFonts w:ascii="Times New Roman" w:hAnsi="Times New Roman" w:eastAsia="仿宋" w:cs="Times New Roman"/>
          <w:kern w:val="0"/>
          <w:sz w:val="28"/>
          <w:szCs w:val="28"/>
          <w:lang w:bidi="ar"/>
        </w:rPr>
        <w:t>双区</w:t>
      </w:r>
      <w:r>
        <w:rPr>
          <w:rFonts w:hint="eastAsia" w:ascii="Times New Roman" w:hAnsi="Times New Roman" w:eastAsia="仿宋" w:cs="Times New Roman"/>
          <w:kern w:val="0"/>
          <w:sz w:val="28"/>
          <w:szCs w:val="28"/>
          <w:lang w:eastAsia="zh-CN" w:bidi="ar"/>
        </w:rPr>
        <w:t>”</w:t>
      </w:r>
      <w:r>
        <w:rPr>
          <w:rFonts w:ascii="Times New Roman" w:hAnsi="Times New Roman" w:eastAsia="仿宋" w:cs="Times New Roman"/>
          <w:kern w:val="0"/>
          <w:sz w:val="28"/>
          <w:szCs w:val="28"/>
          <w:lang w:bidi="ar"/>
        </w:rPr>
        <w:t>和横琴、前海、南沙三大平台叠加优势，引领全省加快发展战略性新兴产业、先进制造业、现代服务业，推动建设更具国际竞争力的现代化产业体系。</w:t>
      </w:r>
    </w:p>
    <w:p>
      <w:pPr>
        <w:adjustRightInd w:val="0"/>
        <w:spacing w:line="540" w:lineRule="exact"/>
        <w:ind w:firstLine="560" w:firstLineChars="200"/>
        <w:rPr>
          <w:rFonts w:ascii="仿宋" w:hAnsi="仿宋" w:eastAsia="仿宋" w:cs="仿宋"/>
          <w:kern w:val="0"/>
          <w:sz w:val="28"/>
          <w:szCs w:val="28"/>
          <w:lang w:bidi="ar"/>
        </w:rPr>
      </w:pPr>
      <w:r>
        <w:rPr>
          <w:rFonts w:ascii="仿宋" w:hAnsi="仿宋" w:eastAsia="仿宋" w:cs="仿宋"/>
          <w:kern w:val="0"/>
          <w:sz w:val="28"/>
          <w:szCs w:val="28"/>
          <w:lang w:bidi="ar"/>
        </w:rPr>
        <w:t>新一代电子信息是大湾区最具竞争优势的产业之一。围绕通信设备、消费电子、集成电路、新型显示等领域，广州、深圳、东莞、惠州等城市形成了具有国际竞争力和自主创新能力的产业链。作为全国重要的电子信息产业基地，2022年全市电子信息产业集群总产值首次突破5000亿元大关，规模位列全省第三，集群规模以上企业855家，其中12家企业产值超百亿元。《惠州市制造业高质量发展三年行动方案（2023</w:t>
      </w:r>
      <w:r>
        <w:rPr>
          <w:rFonts w:hint="eastAsia" w:ascii="仿宋" w:hAnsi="仿宋" w:eastAsia="仿宋" w:cs="仿宋"/>
          <w:kern w:val="0"/>
          <w:sz w:val="28"/>
          <w:szCs w:val="28"/>
          <w:lang w:eastAsia="zh-CN" w:bidi="ar"/>
        </w:rPr>
        <w:t>—</w:t>
      </w:r>
      <w:r>
        <w:rPr>
          <w:rFonts w:ascii="仿宋" w:hAnsi="仿宋" w:eastAsia="仿宋" w:cs="仿宋"/>
          <w:kern w:val="0"/>
          <w:sz w:val="28"/>
          <w:szCs w:val="28"/>
          <w:lang w:bidi="ar"/>
        </w:rPr>
        <w:t>2025年）》对电子信息产业发展提出更高目标：到2025年，惠州电子信息产业集群产值达8500亿元，为打造万亿级产业集群奠定坚实基础。</w:t>
      </w:r>
    </w:p>
    <w:p>
      <w:pPr>
        <w:adjustRightInd w:val="0"/>
        <w:ind w:firstLine="560"/>
        <w:rPr>
          <w:rFonts w:ascii="仿宋" w:hAnsi="仿宋" w:cs="仿宋"/>
          <w:b/>
          <w:kern w:val="0"/>
          <w:lang w:bidi="ar"/>
        </w:rPr>
      </w:pPr>
      <w:r>
        <w:rPr>
          <w:rFonts w:hint="eastAsia" w:ascii="仿宋" w:hAnsi="仿宋" w:eastAsia="仿宋" w:cs="仿宋"/>
          <w:kern w:val="0"/>
          <w:sz w:val="28"/>
          <w:szCs w:val="28"/>
          <w:lang w:bidi="ar"/>
        </w:rPr>
        <w:t>我校应用电子技术专业群作为省级高水平专业群，属学校专业特色。</w:t>
      </w:r>
      <w:r>
        <w:rPr>
          <w:rFonts w:ascii="仿宋" w:hAnsi="仿宋" w:eastAsia="仿宋" w:cs="仿宋"/>
          <w:kern w:val="0"/>
          <w:sz w:val="28"/>
          <w:szCs w:val="28"/>
          <w:lang w:bidi="ar"/>
        </w:rPr>
        <w:t>粤港澳大湾区电子信息产业快速发展为我校电子信息相关专业特色发展提供可能。</w:t>
      </w:r>
    </w:p>
    <w:p>
      <w:pPr>
        <w:pStyle w:val="4"/>
      </w:pPr>
      <w:bookmarkStart w:id="9" w:name="_Toc164347816"/>
      <w:r>
        <w:rPr>
          <w:rFonts w:hint="eastAsia"/>
        </w:rPr>
        <w:t>2.挑战</w:t>
      </w:r>
      <w:bookmarkEnd w:id="9"/>
    </w:p>
    <w:bookmarkEnd w:id="8"/>
    <w:p>
      <w:pPr>
        <w:keepNext/>
        <w:keepLines/>
        <w:spacing w:line="540" w:lineRule="exact"/>
        <w:ind w:firstLine="562" w:firstLineChars="200"/>
        <w:outlineLvl w:val="3"/>
        <w:rPr>
          <w:rFonts w:ascii="Times New Roman" w:hAnsi="Times New Roman" w:eastAsia="仿宋"/>
          <w:b/>
          <w:sz w:val="28"/>
          <w:szCs w:val="28"/>
        </w:rPr>
      </w:pPr>
      <w:bookmarkStart w:id="10" w:name="_Toc16854"/>
      <w:r>
        <w:rPr>
          <w:rFonts w:ascii="Times New Roman" w:hAnsi="Times New Roman" w:eastAsia="仿宋"/>
          <w:b/>
          <w:sz w:val="28"/>
          <w:szCs w:val="28"/>
        </w:rPr>
        <w:t>（</w:t>
      </w:r>
      <w:r>
        <w:rPr>
          <w:rFonts w:hint="eastAsia" w:ascii="Times New Roman" w:hAnsi="Times New Roman" w:eastAsia="仿宋"/>
          <w:b/>
          <w:sz w:val="28"/>
          <w:szCs w:val="28"/>
        </w:rPr>
        <w:t>1</w:t>
      </w:r>
      <w:r>
        <w:rPr>
          <w:rFonts w:ascii="Times New Roman" w:hAnsi="Times New Roman" w:eastAsia="仿宋"/>
          <w:b/>
          <w:sz w:val="28"/>
          <w:szCs w:val="28"/>
        </w:rPr>
        <w:t>）办学条件达标和完善工作</w:t>
      </w:r>
      <w:r>
        <w:rPr>
          <w:rFonts w:hint="eastAsia" w:ascii="Times New Roman" w:hAnsi="Times New Roman" w:eastAsia="仿宋"/>
          <w:b/>
          <w:sz w:val="28"/>
          <w:szCs w:val="28"/>
        </w:rPr>
        <w:t>存在持续挑战</w:t>
      </w:r>
    </w:p>
    <w:p>
      <w:pPr>
        <w:spacing w:line="540" w:lineRule="exact"/>
        <w:ind w:firstLine="560" w:firstLineChars="200"/>
        <w:rPr>
          <w:rFonts w:ascii="仿宋" w:hAnsi="仿宋" w:eastAsia="仿宋"/>
          <w:sz w:val="28"/>
          <w:szCs w:val="28"/>
        </w:rPr>
      </w:pPr>
      <w:r>
        <w:rPr>
          <w:rFonts w:ascii="仿宋" w:hAnsi="仿宋" w:eastAsia="仿宋"/>
          <w:sz w:val="28"/>
          <w:szCs w:val="28"/>
        </w:rPr>
        <w:t>根据教育部、广东省和惠州市关于办学条件达标工作相关要求，我校需要在</w:t>
      </w:r>
      <w:r>
        <w:rPr>
          <w:rFonts w:hint="eastAsia" w:ascii="仿宋" w:hAnsi="仿宋" w:eastAsia="仿宋"/>
          <w:sz w:val="28"/>
          <w:szCs w:val="28"/>
        </w:rPr>
        <w:t>2</w:t>
      </w:r>
      <w:r>
        <w:rPr>
          <w:rFonts w:ascii="仿宋" w:hAnsi="仿宋" w:eastAsia="仿宋"/>
          <w:sz w:val="28"/>
          <w:szCs w:val="28"/>
        </w:rPr>
        <w:t>02</w:t>
      </w:r>
      <w:r>
        <w:rPr>
          <w:rFonts w:hint="eastAsia" w:ascii="仿宋" w:hAnsi="仿宋" w:eastAsia="仿宋"/>
          <w:sz w:val="28"/>
          <w:szCs w:val="28"/>
        </w:rPr>
        <w:t>4年底前实现办学条件全面达标的总体任务。学校办学条件达标最大的挑战为生师比达标。根据学校2024年预计折合在校生数据，经初步计算，2024年底前生师比达标，校内专任教师缺口约294人。同时学校还面临在占地面积、建筑面积、运动场建设、实训室建设等方面持续改善任务。在学校办学资金紧张情况下，首先上述工作任务面临较大困难。</w:t>
      </w:r>
    </w:p>
    <w:p>
      <w:pPr>
        <w:pStyle w:val="5"/>
        <w:ind w:firstLine="562"/>
      </w:pPr>
      <w:r>
        <w:rPr>
          <w:rFonts w:hint="eastAsia"/>
        </w:rPr>
        <w:t>（2）</w:t>
      </w:r>
      <w:bookmarkEnd w:id="10"/>
      <w:r>
        <w:rPr>
          <w:rFonts w:hint="eastAsia"/>
        </w:rPr>
        <w:t>学校“创新强校”标志性成果和关键办学能力有待提升</w:t>
      </w:r>
    </w:p>
    <w:p>
      <w:pPr>
        <w:spacing w:line="540" w:lineRule="exact"/>
        <w:ind w:firstLine="560" w:firstLineChars="200"/>
        <w:rPr>
          <w:rFonts w:ascii="仿宋" w:hAnsi="仿宋" w:eastAsia="仿宋"/>
          <w:sz w:val="28"/>
          <w:szCs w:val="28"/>
        </w:rPr>
      </w:pPr>
      <w:r>
        <w:rPr>
          <w:rFonts w:hint="eastAsia" w:ascii="仿宋" w:hAnsi="仿宋" w:eastAsia="仿宋"/>
          <w:sz w:val="28"/>
          <w:szCs w:val="28"/>
        </w:rPr>
        <w:t>对照广东省教育厅“创新强校工程”建设要求，学校党建标志性成果、产业学院建设、现代学徒制试点和1+X证书试点、科研服务社会、教师和学生标志性成果及中外合作办学方面还有不足。学校</w:t>
      </w:r>
      <w:r>
        <w:rPr>
          <w:rFonts w:ascii="仿宋" w:hAnsi="仿宋" w:eastAsia="仿宋"/>
          <w:sz w:val="28"/>
          <w:szCs w:val="28"/>
        </w:rPr>
        <w:t>亟须在专业集群、产教融合、人才培养、师资队伍建设、成果打造等方面实现关键办学能力的系统提升。</w:t>
      </w:r>
    </w:p>
    <w:p>
      <w:pPr>
        <w:pStyle w:val="5"/>
        <w:ind w:firstLine="562"/>
      </w:pPr>
      <w:bookmarkStart w:id="11" w:name="_Toc29736"/>
      <w:r>
        <w:rPr>
          <w:rFonts w:hint="eastAsia"/>
        </w:rPr>
        <w:t>（3）学校教师队伍建设存在挑战</w:t>
      </w:r>
      <w:bookmarkEnd w:id="11"/>
    </w:p>
    <w:p>
      <w:pPr>
        <w:spacing w:line="540" w:lineRule="exact"/>
        <w:ind w:firstLine="560" w:firstLineChars="200"/>
        <w:rPr>
          <w:rFonts w:ascii="仿宋" w:hAnsi="仿宋" w:eastAsia="仿宋"/>
          <w:sz w:val="28"/>
          <w:szCs w:val="28"/>
        </w:rPr>
      </w:pPr>
      <w:r>
        <w:rPr>
          <w:rFonts w:ascii="仿宋" w:hAnsi="仿宋" w:eastAsia="仿宋"/>
          <w:sz w:val="28"/>
          <w:szCs w:val="28"/>
        </w:rPr>
        <w:t>教师是立教之本、兴教之源。党中央、国务院高度重视职教教师队伍建设工作，对建设高素质“双师型”教师队伍进行了决策部署。我校教师队伍存在数量不够、结构不合理、“双师”素质低、积极性不高等问题。如何在现有条件下</w:t>
      </w:r>
      <w:r>
        <w:rPr>
          <w:rFonts w:hint="eastAsia" w:ascii="仿宋" w:hAnsi="仿宋" w:eastAsia="仿宋"/>
          <w:sz w:val="28"/>
          <w:szCs w:val="28"/>
          <w:lang w:eastAsia="zh-CN"/>
        </w:rPr>
        <w:t>，</w:t>
      </w:r>
      <w:r>
        <w:rPr>
          <w:rFonts w:ascii="仿宋" w:hAnsi="仿宋" w:eastAsia="仿宋"/>
          <w:sz w:val="28"/>
          <w:szCs w:val="28"/>
        </w:rPr>
        <w:t>通过实施新一轮绩效工资制度改革，激发教师工作积极性，是学校师资队伍建设方面的挑战，也事关学校整体发展。</w:t>
      </w:r>
    </w:p>
    <w:p>
      <w:pPr>
        <w:pStyle w:val="2"/>
        <w:ind w:firstLine="643"/>
      </w:pPr>
      <w:bookmarkStart w:id="12" w:name="_Toc164347817"/>
      <w:r>
        <w:rPr>
          <w:rFonts w:hint="eastAsia"/>
        </w:rPr>
        <w:t>二、目标愿景</w:t>
      </w:r>
      <w:bookmarkEnd w:id="12"/>
    </w:p>
    <w:p>
      <w:pPr>
        <w:pStyle w:val="3"/>
        <w:ind w:firstLine="643"/>
      </w:pPr>
      <w:bookmarkStart w:id="13" w:name="_Toc164347818"/>
      <w:r>
        <w:rPr>
          <w:rFonts w:hint="eastAsia"/>
        </w:rPr>
        <w:t>（一）指导思想</w:t>
      </w:r>
      <w:bookmarkEnd w:id="13"/>
    </w:p>
    <w:p>
      <w:pPr>
        <w:pStyle w:val="23"/>
        <w:spacing w:line="540" w:lineRule="exact"/>
        <w:ind w:firstLine="560"/>
        <w:rPr>
          <w:rFonts w:ascii="仿宋" w:hAnsi="仿宋" w:eastAsia="仿宋"/>
          <w:sz w:val="28"/>
          <w:szCs w:val="28"/>
        </w:rPr>
      </w:pPr>
      <w:r>
        <w:rPr>
          <w:rFonts w:hint="eastAsia" w:ascii="仿宋" w:hAnsi="仿宋" w:eastAsia="仿宋"/>
          <w:sz w:val="28"/>
          <w:szCs w:val="28"/>
        </w:rPr>
        <w:t>以习近平新时代中国特色社会主义思想为指导，贯彻落实党的教育方针，认真落实广东省委“1310”工作部署和惠州市委加快打造广东高质量发展新增长极工作部署，紧密对接粤港澳大湾区、广东省和惠州市区域发展需求，紧扣努力将学校建成理工科特色鲜明的国内一流高等职业院校目标，对标广东省教育厅对“创新强校工程”B类院校要求，紧抓重点建设任务，以项目为抓手，系统谋划，创新发展使学校办学思路更加明确，办学特色进一步凸显，校企合作更加深入，人才培养质量进一步提高，内部治理结构更趋完善。</w:t>
      </w:r>
    </w:p>
    <w:p>
      <w:pPr>
        <w:pStyle w:val="3"/>
        <w:ind w:firstLine="643"/>
      </w:pPr>
      <w:bookmarkStart w:id="14" w:name="_Toc164347819"/>
      <w:r>
        <w:rPr>
          <w:rFonts w:hint="eastAsia"/>
        </w:rPr>
        <w:t>（二）建设思路</w:t>
      </w:r>
      <w:bookmarkEnd w:id="14"/>
    </w:p>
    <w:p>
      <w:pPr>
        <w:pStyle w:val="23"/>
        <w:spacing w:line="540" w:lineRule="exact"/>
        <w:ind w:firstLine="560"/>
        <w:rPr>
          <w:rFonts w:ascii="仿宋" w:hAnsi="仿宋" w:eastAsia="仿宋"/>
          <w:sz w:val="28"/>
          <w:szCs w:val="28"/>
        </w:rPr>
      </w:pPr>
      <w:r>
        <w:rPr>
          <w:rFonts w:hint="eastAsia" w:ascii="仿宋" w:hAnsi="仿宋" w:eastAsia="仿宋"/>
          <w:sz w:val="28"/>
          <w:szCs w:val="28"/>
        </w:rPr>
        <w:t>以人才培养为中心，以提升服务发展能力为宗旨，以促进就业为导向，以金专、金课、金师、金地、金教材“五金”为抓手，以打造高水平专业群和高素质教师队伍为重点，创新体制机制，深化教育教学综合改革，深化校企合作，</w:t>
      </w:r>
      <w:r>
        <w:rPr>
          <w:rFonts w:ascii="仿宋" w:hAnsi="仿宋" w:eastAsia="仿宋"/>
          <w:sz w:val="28"/>
          <w:szCs w:val="28"/>
        </w:rPr>
        <w:t>推进产教融合、科教融汇，</w:t>
      </w:r>
      <w:r>
        <w:rPr>
          <w:rFonts w:hint="eastAsia" w:ascii="仿宋" w:hAnsi="仿宋" w:eastAsia="仿宋"/>
          <w:sz w:val="28"/>
          <w:szCs w:val="28"/>
        </w:rPr>
        <w:t>进一步提升学校党建引领力，进一步促进校企合作，进一步提高人才培养质量，</w:t>
      </w:r>
      <w:r>
        <w:rPr>
          <w:rFonts w:ascii="仿宋" w:hAnsi="仿宋" w:eastAsia="仿宋"/>
          <w:sz w:val="28"/>
          <w:szCs w:val="28"/>
        </w:rPr>
        <w:t>主动对接区域产业、社会发展需要，持续完善提升办学条件，扎实推进学校高质量内涵式特色发展。</w:t>
      </w:r>
    </w:p>
    <w:p>
      <w:pPr>
        <w:pStyle w:val="3"/>
        <w:ind w:firstLine="643"/>
      </w:pPr>
      <w:bookmarkStart w:id="15" w:name="_Toc164347820"/>
      <w:r>
        <w:rPr>
          <w:rFonts w:hint="eastAsia"/>
        </w:rPr>
        <w:t>（三）拟解决的关键问题</w:t>
      </w:r>
      <w:bookmarkEnd w:id="15"/>
    </w:p>
    <w:p>
      <w:pPr>
        <w:spacing w:line="540" w:lineRule="exact"/>
        <w:ind w:firstLine="560" w:firstLineChars="200"/>
        <w:rPr>
          <w:rFonts w:ascii="仿宋" w:hAnsi="仿宋" w:eastAsia="仿宋"/>
          <w:bCs/>
          <w:sz w:val="28"/>
          <w:szCs w:val="28"/>
        </w:rPr>
      </w:pPr>
      <w:r>
        <w:rPr>
          <w:rFonts w:ascii="仿宋" w:hAnsi="仿宋" w:eastAsia="仿宋"/>
          <w:bCs/>
          <w:sz w:val="28"/>
          <w:szCs w:val="28"/>
        </w:rPr>
        <w:t>一是通过重点领域改革，实现开源节流，解决生均拨款经费相对不足，学校教育教学高质量发展财政保障问题；</w:t>
      </w:r>
    </w:p>
    <w:p>
      <w:pPr>
        <w:spacing w:line="540" w:lineRule="exact"/>
        <w:ind w:firstLine="560" w:firstLineChars="200"/>
        <w:rPr>
          <w:rFonts w:ascii="仿宋" w:hAnsi="仿宋" w:eastAsia="仿宋"/>
          <w:bCs/>
          <w:sz w:val="28"/>
          <w:szCs w:val="28"/>
        </w:rPr>
      </w:pPr>
      <w:r>
        <w:rPr>
          <w:rFonts w:ascii="仿宋" w:hAnsi="仿宋" w:eastAsia="仿宋"/>
          <w:bCs/>
          <w:sz w:val="28"/>
          <w:szCs w:val="28"/>
        </w:rPr>
        <w:t>二是通过校企合作，大力加强师资队伍建设，解决现有师资力量相对不足和教师“双师”素质不高问题；</w:t>
      </w:r>
    </w:p>
    <w:p>
      <w:pPr>
        <w:spacing w:line="540" w:lineRule="exact"/>
        <w:ind w:firstLine="560" w:firstLineChars="200"/>
        <w:rPr>
          <w:rFonts w:ascii="仿宋" w:hAnsi="仿宋" w:eastAsia="仿宋"/>
          <w:bCs/>
          <w:sz w:val="28"/>
          <w:szCs w:val="28"/>
        </w:rPr>
      </w:pPr>
      <w:r>
        <w:rPr>
          <w:rFonts w:ascii="仿宋" w:hAnsi="仿宋" w:eastAsia="仿宋"/>
          <w:bCs/>
          <w:sz w:val="28"/>
          <w:szCs w:val="28"/>
        </w:rPr>
        <w:t>三是通过创新人才培养模式、深度产教融合，实现教育链、人才链、产业链和创新链深度对接，培养更多符合本地企业需求的人才，提升学校毕业生留惠就业率；</w:t>
      </w:r>
    </w:p>
    <w:p>
      <w:pPr>
        <w:spacing w:line="540" w:lineRule="exact"/>
        <w:ind w:firstLine="560" w:firstLineChars="200"/>
        <w:rPr>
          <w:rFonts w:ascii="仿宋" w:hAnsi="仿宋" w:eastAsia="仿宋"/>
          <w:bCs/>
          <w:sz w:val="28"/>
          <w:szCs w:val="28"/>
        </w:rPr>
      </w:pPr>
      <w:r>
        <w:rPr>
          <w:rFonts w:hint="eastAsia" w:ascii="仿宋" w:hAnsi="仿宋" w:eastAsia="仿宋"/>
          <w:bCs/>
          <w:sz w:val="28"/>
          <w:szCs w:val="28"/>
        </w:rPr>
        <w:t>四是通过将“创新强校”项目与学校年度工作重点任务相结合，系统解决学校发展动力不足的问题。</w:t>
      </w:r>
    </w:p>
    <w:p>
      <w:pPr>
        <w:pStyle w:val="3"/>
        <w:ind w:firstLine="643"/>
      </w:pPr>
      <w:bookmarkStart w:id="16" w:name="_Toc22805"/>
      <w:bookmarkStart w:id="17" w:name="_Toc164347821"/>
      <w:r>
        <w:rPr>
          <w:rFonts w:hint="eastAsia"/>
        </w:rPr>
        <w:t>（四）建设目标</w:t>
      </w:r>
      <w:bookmarkEnd w:id="16"/>
      <w:bookmarkEnd w:id="17"/>
    </w:p>
    <w:p>
      <w:pPr>
        <w:pStyle w:val="4"/>
      </w:pPr>
      <w:bookmarkStart w:id="18" w:name="_Toc164347822"/>
      <w:r>
        <w:rPr>
          <w:rFonts w:hint="eastAsia"/>
        </w:rPr>
        <w:t>1.总体目标</w:t>
      </w:r>
      <w:bookmarkEnd w:id="18"/>
    </w:p>
    <w:p>
      <w:pPr>
        <w:pStyle w:val="23"/>
        <w:spacing w:line="540" w:lineRule="exact"/>
        <w:ind w:firstLine="560"/>
        <w:rPr>
          <w:rFonts w:ascii="仿宋" w:hAnsi="仿宋" w:eastAsia="仿宋"/>
          <w:sz w:val="28"/>
          <w:szCs w:val="28"/>
        </w:rPr>
      </w:pPr>
      <w:r>
        <w:rPr>
          <w:rFonts w:hint="eastAsia" w:ascii="仿宋" w:hAnsi="仿宋" w:eastAsia="仿宋"/>
          <w:sz w:val="28"/>
          <w:szCs w:val="28"/>
        </w:rPr>
        <w:t>以“产教融合、育训一体、德技并修、人人出彩”为育人理念，以“厚德、博学、立业、报国”为校训，致力弘扬“吃苦耐劳、淳朴厚道、臻技敬业、进取创新”的学校精神，努力将学校建成理工科特色鲜明的国内一流高等职业院校，培养更多高素质技术技能人才，打造粤港澳大湾区高素质技术技能人才培养高地、产教融合和科教融汇示范高地、科研及培训服务高地，使学校人才培养质量全面提高，服务经济社会发展的水平明显提升，国际化程度显著提高，为惠州加快建设更加幸福、国内一流城市和我省及粤港澳大湾区高质量协同发展提供有力人才支撑和智力保障。</w:t>
      </w:r>
    </w:p>
    <w:p>
      <w:pPr>
        <w:pStyle w:val="23"/>
        <w:spacing w:line="540" w:lineRule="exact"/>
        <w:ind w:firstLine="560"/>
        <w:rPr>
          <w:rFonts w:ascii="仿宋" w:hAnsi="仿宋" w:eastAsia="仿宋"/>
          <w:sz w:val="28"/>
          <w:szCs w:val="28"/>
        </w:rPr>
      </w:pPr>
      <w:r>
        <w:rPr>
          <w:rFonts w:hint="eastAsia" w:ascii="仿宋" w:hAnsi="仿宋" w:eastAsia="仿宋"/>
          <w:sz w:val="28"/>
          <w:szCs w:val="28"/>
        </w:rPr>
        <w:t>到2025年，经过新一轮“创新强校工程”建设，力争个别专业在先期开展三二分段专升本协同育人培养基础上，试点参与四年制本科协同育人培养，</w:t>
      </w:r>
      <w:r>
        <w:rPr>
          <w:rFonts w:ascii="仿宋" w:hAnsi="仿宋" w:eastAsia="仿宋"/>
          <w:sz w:val="28"/>
          <w:szCs w:val="28"/>
        </w:rPr>
        <w:t>整体排名进入全省高职院校</w:t>
      </w:r>
      <w:r>
        <w:rPr>
          <w:rFonts w:hint="eastAsia" w:ascii="仿宋" w:hAnsi="仿宋" w:eastAsia="仿宋"/>
          <w:sz w:val="28"/>
          <w:szCs w:val="28"/>
        </w:rPr>
        <w:t>B类前列，为将学校最终建成理工科特色鲜明的国内一流高等职业院校奠定基础。</w:t>
      </w:r>
      <w:r>
        <w:rPr>
          <w:rFonts w:ascii="仿宋" w:hAnsi="仿宋" w:eastAsia="仿宋"/>
          <w:sz w:val="28"/>
          <w:szCs w:val="28"/>
        </w:rPr>
        <w:t xml:space="preserve"> </w:t>
      </w:r>
    </w:p>
    <w:p>
      <w:pPr>
        <w:pStyle w:val="4"/>
      </w:pPr>
      <w:bookmarkStart w:id="19" w:name="_Toc164347823"/>
      <w:r>
        <w:rPr>
          <w:rFonts w:hint="eastAsia"/>
        </w:rPr>
        <w:t>2.标志性成果与量化指标</w:t>
      </w:r>
      <w:bookmarkEnd w:id="19"/>
    </w:p>
    <w:p>
      <w:pPr>
        <w:pStyle w:val="5"/>
        <w:ind w:firstLine="562"/>
      </w:pPr>
      <w:r>
        <w:rPr>
          <w:rFonts w:hint="eastAsia"/>
        </w:rPr>
        <w:t>（1）标志性成果</w:t>
      </w:r>
    </w:p>
    <w:p>
      <w:pPr>
        <w:widowControl/>
        <w:topLinePunct/>
        <w:adjustRightInd w:val="0"/>
        <w:spacing w:line="540" w:lineRule="exact"/>
        <w:ind w:firstLine="560" w:firstLineChars="200"/>
        <w:jc w:val="left"/>
        <w:rPr>
          <w:rFonts w:ascii="仿宋" w:hAnsi="仿宋" w:eastAsia="仿宋" w:cs="仿宋"/>
          <w:kern w:val="0"/>
          <w:sz w:val="28"/>
          <w:szCs w:val="28"/>
          <w:lang w:bidi="ar"/>
        </w:rPr>
      </w:pPr>
      <w:r>
        <w:rPr>
          <w:rFonts w:hint="eastAsia" w:ascii="仿宋" w:hAnsi="仿宋" w:eastAsia="仿宋" w:cs="仿宋"/>
          <w:kern w:val="0"/>
          <w:sz w:val="28"/>
          <w:szCs w:val="28"/>
          <w:lang w:bidi="ar"/>
        </w:rPr>
        <w:t>规划期内力争在国家级“双高”标志性成果9项中的所有项目中全部有突破。在党的建设、高水平专业群、市域产教联合体、开放型区域产教融合实践中心、产业学院、教师教学创新团队、教学成果奖、专业教学资源库、精品在线开放课程、双师型教师培养培训基地、科学研究和技术服务、职业院校技能大赛获奖、职业院校教师教学能力大赛获奖、1+X证书试点、现代学徒制试点、中外合作办学项目等关键性指标方面成果超过500项。</w:t>
      </w:r>
    </w:p>
    <w:p>
      <w:pPr>
        <w:widowControl/>
        <w:topLinePunct/>
        <w:adjustRightInd w:val="0"/>
        <w:spacing w:line="540" w:lineRule="exact"/>
        <w:ind w:firstLine="560" w:firstLineChars="200"/>
        <w:jc w:val="left"/>
        <w:rPr>
          <w:rFonts w:ascii="仿宋" w:hAnsi="仿宋" w:eastAsia="仿宋" w:cs="仿宋"/>
          <w:bCs/>
          <w:kern w:val="0"/>
          <w:sz w:val="28"/>
          <w:szCs w:val="28"/>
          <w:lang w:bidi="ar"/>
        </w:rPr>
      </w:pPr>
      <w:r>
        <w:rPr>
          <w:rFonts w:hint="eastAsia" w:ascii="仿宋" w:hAnsi="仿宋" w:eastAsia="仿宋" w:cs="仿宋"/>
          <w:bCs/>
          <w:kern w:val="0"/>
          <w:sz w:val="28"/>
          <w:szCs w:val="28"/>
          <w:lang w:bidi="ar"/>
        </w:rPr>
        <w:t>——发挥“双带头人”和“头雁效应”，学校建成省级</w:t>
      </w:r>
      <w:r>
        <w:rPr>
          <w:rFonts w:ascii="仿宋" w:hAnsi="仿宋" w:eastAsia="仿宋" w:cs="仿宋"/>
          <w:bCs/>
          <w:kern w:val="0"/>
          <w:sz w:val="28"/>
          <w:szCs w:val="28"/>
          <w:lang w:bidi="ar"/>
        </w:rPr>
        <w:t>党建工作示范高校，省级“三全育人”体制机制建设试点单位</w:t>
      </w:r>
      <w:r>
        <w:rPr>
          <w:rFonts w:hint="eastAsia" w:ascii="仿宋" w:hAnsi="仿宋" w:eastAsia="仿宋" w:cs="仿宋"/>
          <w:bCs/>
          <w:kern w:val="0"/>
          <w:sz w:val="28"/>
          <w:szCs w:val="28"/>
          <w:lang w:bidi="ar"/>
        </w:rPr>
        <w:t>，建成2个党建工作标杆院系，3个党建工作样板支部；打造15个品牌“双带头人”工作室，形成5个省级党建工作创新案例，培养10名思政名师，形成“三全育人”大思政格局和“五位一体、四维协同”的党建工作格局。</w:t>
      </w:r>
    </w:p>
    <w:p>
      <w:pPr>
        <w:widowControl/>
        <w:topLinePunct/>
        <w:adjustRightInd w:val="0"/>
        <w:spacing w:line="540" w:lineRule="exact"/>
        <w:ind w:firstLine="560" w:firstLineChars="200"/>
        <w:jc w:val="left"/>
        <w:rPr>
          <w:rFonts w:ascii="仿宋" w:hAnsi="仿宋" w:eastAsia="仿宋" w:cs="仿宋"/>
          <w:bCs/>
          <w:kern w:val="0"/>
          <w:sz w:val="28"/>
          <w:szCs w:val="28"/>
          <w:lang w:bidi="ar"/>
        </w:rPr>
      </w:pPr>
      <w:r>
        <w:rPr>
          <w:rFonts w:hint="eastAsia" w:ascii="仿宋" w:hAnsi="仿宋" w:eastAsia="仿宋" w:cs="仿宋"/>
          <w:bCs/>
          <w:kern w:val="0"/>
          <w:sz w:val="28"/>
          <w:szCs w:val="28"/>
          <w:lang w:bidi="ar"/>
        </w:rPr>
        <w:t>——创新“五教融通，双平台并举”的人才培养模式，新增现代学徒制专业6个，新增1+X证书试点6项，以应用电子技术、商务数据分析与应用2个省级高水平专业群引领，优化学校“2+3”专业集群布局。</w:t>
      </w:r>
      <w:r>
        <w:rPr>
          <w:rFonts w:ascii="仿宋" w:hAnsi="仿宋" w:eastAsia="仿宋" w:cs="仿宋"/>
          <w:bCs/>
          <w:kern w:val="0"/>
          <w:sz w:val="28"/>
          <w:szCs w:val="28"/>
          <w:lang w:bidi="ar"/>
        </w:rPr>
        <w:t>新增省级以上教育教学成果奖</w:t>
      </w:r>
      <w:r>
        <w:rPr>
          <w:rFonts w:hint="eastAsia" w:ascii="仿宋" w:hAnsi="仿宋" w:eastAsia="仿宋" w:cs="仿宋"/>
          <w:bCs/>
          <w:kern w:val="0"/>
          <w:sz w:val="28"/>
          <w:szCs w:val="28"/>
          <w:lang w:bidi="ar"/>
        </w:rPr>
        <w:t>5项以上，新增精品在线开放课程省级5项以上，国家级超2项；新增省级职业教育教学资源库1项以上；新增省级优质继续教育网络课程5项以上；新增省级优秀质资进社区项目5项以上；新增国家规划教材或优秀“十四五规划”教材5项以上。</w:t>
      </w:r>
    </w:p>
    <w:p>
      <w:pPr>
        <w:widowControl/>
        <w:topLinePunct/>
        <w:adjustRightInd w:val="0"/>
        <w:spacing w:line="540" w:lineRule="exact"/>
        <w:ind w:firstLine="562" w:firstLineChars="200"/>
        <w:jc w:val="left"/>
        <w:rPr>
          <w:rFonts w:ascii="仿宋" w:hAnsi="仿宋" w:eastAsia="仿宋" w:cs="仿宋"/>
          <w:bCs/>
          <w:kern w:val="0"/>
          <w:sz w:val="28"/>
          <w:szCs w:val="28"/>
          <w:lang w:bidi="ar"/>
        </w:rPr>
      </w:pPr>
      <w:r>
        <w:rPr>
          <w:rFonts w:hint="eastAsia" w:ascii="仿宋" w:hAnsi="仿宋" w:eastAsia="仿宋" w:cs="仿宋"/>
          <w:b/>
          <w:bCs/>
          <w:kern w:val="0"/>
          <w:sz w:val="28"/>
          <w:szCs w:val="28"/>
          <w:lang w:bidi="ar"/>
        </w:rPr>
        <w:t>——</w:t>
      </w:r>
      <w:r>
        <w:rPr>
          <w:rFonts w:hint="eastAsia" w:ascii="仿宋" w:hAnsi="仿宋" w:eastAsia="仿宋" w:cs="仿宋"/>
          <w:bCs/>
          <w:kern w:val="0"/>
          <w:sz w:val="28"/>
          <w:szCs w:val="28"/>
          <w:lang w:bidi="ar"/>
        </w:rPr>
        <w:t>重点打造市厅级以上科研创新、产教融合、技术技能平台30个。建成15个技术技能创新服务平台，8支创新服务团队。获科研项目立项，省级50项以上，国家级15项以上。年均横向技术服务到款额超520万，年均横向技术服务产生经济效益超1500万，年均纵向科研经费超200万。</w:t>
      </w:r>
    </w:p>
    <w:p>
      <w:pPr>
        <w:widowControl/>
        <w:topLinePunct/>
        <w:adjustRightInd w:val="0"/>
        <w:spacing w:line="540" w:lineRule="exact"/>
        <w:ind w:firstLine="560" w:firstLineChars="200"/>
        <w:jc w:val="left"/>
        <w:rPr>
          <w:rFonts w:ascii="仿宋" w:hAnsi="仿宋" w:eastAsia="仿宋" w:cs="仿宋"/>
          <w:bCs/>
          <w:kern w:val="0"/>
          <w:sz w:val="28"/>
          <w:szCs w:val="28"/>
          <w:lang w:bidi="ar"/>
        </w:rPr>
      </w:pPr>
      <w:r>
        <w:rPr>
          <w:rFonts w:hint="eastAsia" w:ascii="仿宋" w:hAnsi="仿宋" w:eastAsia="仿宋" w:cs="仿宋"/>
          <w:bCs/>
          <w:kern w:val="0"/>
          <w:sz w:val="28"/>
          <w:szCs w:val="28"/>
          <w:lang w:bidi="ar"/>
        </w:rPr>
        <w:t>——打造国家级教学名师与教学团队1名（支），省级教学名师与教学团队2名（支），省级教学创新团队2支，省级技能大师工作室2个，高层次技能型兼职教师2名，示范性职工培训基地4个，为粤港澳大湾区的人才输送、科技开发和社会服务提供坚强有力的人力资源支撑。</w:t>
      </w:r>
    </w:p>
    <w:p>
      <w:pPr>
        <w:widowControl/>
        <w:topLinePunct/>
        <w:adjustRightInd w:val="0"/>
        <w:spacing w:line="540" w:lineRule="exact"/>
        <w:ind w:firstLine="560" w:firstLineChars="200"/>
        <w:jc w:val="left"/>
        <w:rPr>
          <w:rFonts w:ascii="仿宋" w:hAnsi="仿宋" w:eastAsia="仿宋" w:cs="仿宋"/>
          <w:bCs/>
          <w:kern w:val="0"/>
          <w:sz w:val="28"/>
          <w:szCs w:val="28"/>
          <w:lang w:bidi="ar"/>
        </w:rPr>
      </w:pPr>
      <w:r>
        <w:rPr>
          <w:rFonts w:hint="eastAsia" w:ascii="仿宋" w:hAnsi="仿宋" w:eastAsia="仿宋" w:cs="仿宋"/>
          <w:bCs/>
          <w:kern w:val="0"/>
          <w:sz w:val="28"/>
          <w:szCs w:val="28"/>
          <w:lang w:bidi="ar"/>
        </w:rPr>
        <w:t>——牵头建设大湾区领先的职业教育集团1个，市域产教联合体2个，行业产教融合共同体1个，建成开放型区域产教融合实践中心12个，“双师型”教师企业实践流动站1个、具有辐射引领作用的省级产教融合实训基地5个、示范性高水平现代产业学院8个。</w:t>
      </w:r>
    </w:p>
    <w:p>
      <w:pPr>
        <w:widowControl/>
        <w:topLinePunct/>
        <w:adjustRightInd w:val="0"/>
        <w:spacing w:line="540" w:lineRule="exact"/>
        <w:ind w:firstLine="560" w:firstLineChars="200"/>
        <w:jc w:val="left"/>
        <w:rPr>
          <w:rFonts w:ascii="仿宋" w:hAnsi="仿宋" w:eastAsia="仿宋" w:cs="仿宋"/>
          <w:bCs/>
          <w:kern w:val="0"/>
          <w:sz w:val="28"/>
          <w:szCs w:val="28"/>
          <w:lang w:bidi="ar"/>
        </w:rPr>
      </w:pPr>
      <w:r>
        <w:rPr>
          <w:rFonts w:hint="eastAsia" w:ascii="仿宋" w:hAnsi="仿宋" w:eastAsia="仿宋" w:cs="仿宋"/>
          <w:bCs/>
          <w:kern w:val="0"/>
          <w:sz w:val="28"/>
          <w:szCs w:val="28"/>
          <w:lang w:bidi="ar"/>
        </w:rPr>
        <w:t>——培养高素质技术技能人才10000人；建立各类省级培训基地不少于2个，开展继续教育、社区教育和终身学习服务25000人次；广泛开展各类社会服务12000人次；开展乡村振兴服务，培训高素质农民600人，年均非学历培训到账经费超900万，新增省级示范性继续教育基地1个以上，新增省级社会教育示范基地3个以上。</w:t>
      </w:r>
    </w:p>
    <w:p>
      <w:pPr>
        <w:widowControl/>
        <w:topLinePunct/>
        <w:adjustRightInd w:val="0"/>
        <w:spacing w:line="540" w:lineRule="exact"/>
        <w:ind w:firstLine="560" w:firstLineChars="200"/>
        <w:jc w:val="left"/>
        <w:rPr>
          <w:rFonts w:ascii="仿宋" w:hAnsi="仿宋" w:eastAsia="仿宋" w:cs="仿宋"/>
          <w:bCs/>
          <w:kern w:val="0"/>
          <w:sz w:val="28"/>
          <w:szCs w:val="28"/>
          <w:lang w:bidi="ar"/>
        </w:rPr>
      </w:pPr>
      <w:r>
        <w:rPr>
          <w:rFonts w:hint="eastAsia" w:ascii="仿宋" w:hAnsi="仿宋" w:eastAsia="仿宋" w:cs="仿宋"/>
          <w:bCs/>
          <w:kern w:val="0"/>
          <w:sz w:val="28"/>
          <w:szCs w:val="28"/>
          <w:lang w:bidi="ar"/>
        </w:rPr>
        <w:t>——以习近平新时代中国特色社会主义思想为指导，坚持党的全面领导，以学校章程</w:t>
      </w:r>
      <w:r>
        <w:rPr>
          <w:rFonts w:hint="eastAsia" w:ascii="仿宋" w:hAnsi="仿宋" w:eastAsia="仿宋" w:cs="仿宋"/>
          <w:bCs/>
          <w:kern w:val="0"/>
          <w:sz w:val="28"/>
          <w:szCs w:val="28"/>
          <w:lang w:eastAsia="zh-CN" w:bidi="ar"/>
        </w:rPr>
        <w:t>为</w:t>
      </w:r>
      <w:r>
        <w:rPr>
          <w:rFonts w:hint="eastAsia" w:ascii="仿宋" w:hAnsi="仿宋" w:eastAsia="仿宋" w:cs="仿宋"/>
          <w:bCs/>
          <w:kern w:val="0"/>
          <w:sz w:val="28"/>
          <w:szCs w:val="28"/>
          <w:lang w:bidi="ar"/>
        </w:rPr>
        <w:t>根本遵循，坚持党委领导下的校长负责制，完善治理制度，深化治理体系建设，构建科学规范、协同高效、安全稳定的治理体系，打造湾区特色的职业院校治理结构和模式。</w:t>
      </w:r>
    </w:p>
    <w:p>
      <w:pPr>
        <w:widowControl/>
        <w:topLinePunct/>
        <w:adjustRightInd w:val="0"/>
        <w:spacing w:line="540" w:lineRule="exact"/>
        <w:ind w:firstLine="560" w:firstLineChars="200"/>
        <w:jc w:val="left"/>
        <w:rPr>
          <w:rFonts w:ascii="仿宋" w:hAnsi="仿宋" w:eastAsia="仿宋" w:cs="仿宋"/>
          <w:bCs/>
          <w:kern w:val="0"/>
          <w:sz w:val="28"/>
          <w:szCs w:val="28"/>
          <w:lang w:bidi="ar"/>
        </w:rPr>
      </w:pPr>
      <w:r>
        <w:rPr>
          <w:rFonts w:hint="eastAsia" w:ascii="仿宋" w:hAnsi="仿宋" w:eastAsia="仿宋" w:cs="仿宋"/>
          <w:bCs/>
          <w:kern w:val="0"/>
          <w:sz w:val="28"/>
          <w:szCs w:val="28"/>
          <w:lang w:bidi="ar"/>
        </w:rPr>
        <w:t>——全面建成“5G+智慧校园”，打造“智慧惠工”，建成“三平台一大脑”（大教学平台、大管理平台、大数据平台</w:t>
      </w:r>
      <w:r>
        <w:rPr>
          <w:rFonts w:hint="eastAsia" w:ascii="仿宋" w:hAnsi="仿宋" w:eastAsia="仿宋" w:cs="仿宋"/>
          <w:bCs/>
          <w:kern w:val="0"/>
          <w:sz w:val="28"/>
          <w:szCs w:val="28"/>
          <w:lang w:eastAsia="zh-CN" w:bidi="ar"/>
        </w:rPr>
        <w:t>、</w:t>
      </w:r>
      <w:r>
        <w:rPr>
          <w:rFonts w:hint="eastAsia" w:ascii="仿宋" w:hAnsi="仿宋" w:eastAsia="仿宋" w:cs="仿宋"/>
          <w:bCs/>
          <w:kern w:val="0"/>
          <w:sz w:val="28"/>
          <w:szCs w:val="28"/>
          <w:lang w:bidi="ar"/>
        </w:rPr>
        <w:t>安全大脑）智慧云校园，建成161间智慧教室，8种不同空间类型的特色智慧教室，使学校成为职业院校智慧校园建设的标杆院校。</w:t>
      </w:r>
    </w:p>
    <w:p>
      <w:pPr>
        <w:widowControl/>
        <w:topLinePunct/>
        <w:adjustRightInd w:val="0"/>
        <w:spacing w:line="540" w:lineRule="exact"/>
        <w:ind w:firstLine="560" w:firstLineChars="200"/>
        <w:jc w:val="left"/>
        <w:rPr>
          <w:rFonts w:ascii="仿宋" w:hAnsi="仿宋" w:eastAsia="仿宋" w:cs="仿宋"/>
          <w:bCs/>
          <w:kern w:val="0"/>
          <w:sz w:val="28"/>
          <w:szCs w:val="28"/>
          <w:lang w:bidi="ar"/>
        </w:rPr>
      </w:pPr>
      <w:bookmarkStart w:id="20" w:name="_Hlk88337334"/>
      <w:r>
        <w:rPr>
          <w:rFonts w:hint="eastAsia" w:ascii="仿宋" w:hAnsi="仿宋" w:eastAsia="仿宋" w:cs="仿宋"/>
          <w:bCs/>
          <w:kern w:val="0"/>
          <w:sz w:val="28"/>
          <w:szCs w:val="28"/>
          <w:lang w:bidi="ar"/>
        </w:rPr>
        <w:t>——建成至少 1个中外合作办学项目</w:t>
      </w:r>
      <w:bookmarkEnd w:id="20"/>
      <w:r>
        <w:rPr>
          <w:rFonts w:hint="eastAsia" w:ascii="仿宋" w:hAnsi="仿宋" w:eastAsia="仿宋" w:cs="仿宋"/>
          <w:bCs/>
          <w:kern w:val="0"/>
          <w:sz w:val="28"/>
          <w:szCs w:val="28"/>
          <w:lang w:bidi="ar"/>
        </w:rPr>
        <w:t>；2门对外在线精品课程；1个中华优秀传统文化对外输出平台；参与制定 1-2 个国际职业资格认证标准；拓展与“一带一路”沿线国家的教育交流合作，联合大湾区 “走出去”企业实施跨境职业教育培训，开展中外学生短期交流和培训，招收一批海外留学生，形成国际合作新格局。</w:t>
      </w:r>
    </w:p>
    <w:p>
      <w:pPr>
        <w:pStyle w:val="5"/>
        <w:ind w:firstLine="562"/>
      </w:pPr>
      <w:r>
        <w:rPr>
          <w:rFonts w:hint="eastAsia"/>
        </w:rPr>
        <w:t>（2）量化指标</w:t>
      </w:r>
    </w:p>
    <w:p>
      <w:pPr>
        <w:widowControl/>
        <w:topLinePunct/>
        <w:adjustRightInd w:val="0"/>
        <w:spacing w:line="560" w:lineRule="exact"/>
        <w:jc w:val="center"/>
        <w:rPr>
          <w:rFonts w:ascii="仿宋" w:hAnsi="仿宋" w:eastAsia="仿宋" w:cs="仿宋"/>
          <w:kern w:val="0"/>
          <w:sz w:val="28"/>
          <w:szCs w:val="30"/>
        </w:rPr>
      </w:pPr>
      <w:r>
        <w:rPr>
          <w:rFonts w:hint="eastAsia" w:ascii="仿宋" w:hAnsi="仿宋" w:eastAsia="仿宋" w:cs="仿宋"/>
          <w:kern w:val="0"/>
          <w:sz w:val="28"/>
          <w:szCs w:val="28"/>
        </w:rPr>
        <w:t xml:space="preserve"> 标志性成果与量化指标</w:t>
      </w:r>
    </w:p>
    <w:tbl>
      <w:tblPr>
        <w:tblStyle w:val="31"/>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6"/>
        <w:gridCol w:w="3482"/>
        <w:gridCol w:w="1916"/>
        <w:gridCol w:w="1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1616" w:type="dxa"/>
            <w:tcBorders>
              <w:top w:val="single" w:color="D8D8D8" w:sz="8" w:space="0"/>
              <w:left w:val="single" w:color="D8D8D8" w:sz="8" w:space="0"/>
              <w:bottom w:val="single" w:color="D8D8D8" w:sz="4" w:space="0"/>
              <w:right w:val="single" w:color="D8D8D8" w:sz="4" w:space="0"/>
            </w:tcBorders>
            <w:shd w:val="clear" w:color="auto" w:fill="3FA7D6"/>
            <w:vAlign w:val="center"/>
          </w:tcPr>
          <w:p>
            <w:pPr>
              <w:widowControl/>
              <w:topLinePunct/>
              <w:spacing w:line="560" w:lineRule="exact"/>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成果类型</w:t>
            </w:r>
          </w:p>
        </w:tc>
        <w:tc>
          <w:tcPr>
            <w:tcW w:w="3482" w:type="dxa"/>
            <w:tcBorders>
              <w:top w:val="single" w:color="D8D8D8" w:sz="8" w:space="0"/>
              <w:left w:val="single" w:color="D8D8D8" w:sz="4" w:space="0"/>
              <w:bottom w:val="single" w:color="D8D8D8" w:sz="4" w:space="0"/>
              <w:right w:val="single" w:color="D8D8D8" w:sz="4" w:space="0"/>
            </w:tcBorders>
            <w:shd w:val="clear" w:color="auto" w:fill="3FA7D6"/>
            <w:vAlign w:val="center"/>
          </w:tcPr>
          <w:p>
            <w:pPr>
              <w:widowControl/>
              <w:topLinePunct/>
              <w:spacing w:line="560" w:lineRule="exact"/>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项目名称</w:t>
            </w:r>
          </w:p>
        </w:tc>
        <w:tc>
          <w:tcPr>
            <w:tcW w:w="1916" w:type="dxa"/>
            <w:tcBorders>
              <w:top w:val="single" w:color="D8D8D8" w:sz="8" w:space="0"/>
              <w:left w:val="single" w:color="D8D8D8" w:sz="4" w:space="0"/>
              <w:bottom w:val="single" w:color="D8D8D8" w:sz="4" w:space="0"/>
              <w:right w:val="single" w:color="D8D8D8" w:sz="8" w:space="0"/>
            </w:tcBorders>
            <w:shd w:val="clear" w:color="auto" w:fill="3FA7D6"/>
            <w:vAlign w:val="center"/>
          </w:tcPr>
          <w:p>
            <w:pPr>
              <w:widowControl/>
              <w:topLinePunct/>
              <w:spacing w:line="560" w:lineRule="exact"/>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国家级数量（个）</w:t>
            </w:r>
          </w:p>
        </w:tc>
        <w:tc>
          <w:tcPr>
            <w:tcW w:w="1508" w:type="dxa"/>
            <w:tcBorders>
              <w:top w:val="single" w:color="D8D8D8" w:sz="8" w:space="0"/>
              <w:left w:val="single" w:color="D8D8D8" w:sz="8" w:space="0"/>
              <w:bottom w:val="single" w:color="D8D8D8" w:sz="4" w:space="0"/>
              <w:right w:val="single" w:color="D8D8D8" w:sz="4" w:space="0"/>
            </w:tcBorders>
            <w:shd w:val="clear" w:color="auto" w:fill="3FA7D6"/>
            <w:vAlign w:val="center"/>
          </w:tcPr>
          <w:p>
            <w:pPr>
              <w:widowControl/>
              <w:topLinePunct/>
              <w:spacing w:line="560" w:lineRule="exact"/>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省级数量（个）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16" w:type="dxa"/>
            <w:vMerge w:val="restart"/>
            <w:tcBorders>
              <w:top w:val="single" w:color="D8D8D8" w:sz="4" w:space="0"/>
              <w:left w:val="single" w:color="D8D8D8" w:sz="8" w:space="0"/>
              <w:right w:val="single" w:color="D8D8D8" w:sz="4" w:space="0"/>
            </w:tcBorders>
            <w:shd w:val="clear" w:color="auto" w:fill="FFFFFF"/>
            <w:vAlign w:val="center"/>
          </w:tcPr>
          <w:p>
            <w:pPr>
              <w:widowControl/>
              <w:topLinePunct/>
              <w:spacing w:line="560" w:lineRule="exact"/>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学校层面</w:t>
            </w:r>
          </w:p>
          <w:p>
            <w:pPr>
              <w:widowControl/>
              <w:topLinePunct/>
              <w:spacing w:line="560" w:lineRule="exact"/>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项目成果</w:t>
            </w:r>
          </w:p>
        </w:tc>
        <w:tc>
          <w:tcPr>
            <w:tcW w:w="3482" w:type="dxa"/>
            <w:tcBorders>
              <w:top w:val="single" w:color="D8D8D8" w:sz="4" w:space="0"/>
              <w:left w:val="single" w:color="D8D8D8" w:sz="4"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ascii="仿宋" w:hAnsi="仿宋" w:eastAsia="仿宋" w:cs="仿宋"/>
                <w:color w:val="000000"/>
                <w:kern w:val="0"/>
                <w:szCs w:val="21"/>
              </w:rPr>
              <w:t>党建工作示范高校</w:t>
            </w:r>
          </w:p>
        </w:tc>
        <w:tc>
          <w:tcPr>
            <w:tcW w:w="1916" w:type="dxa"/>
            <w:tcBorders>
              <w:top w:val="single" w:color="D8D8D8" w:sz="4" w:space="0"/>
              <w:left w:val="single" w:color="D8D8D8" w:sz="4" w:space="0"/>
              <w:bottom w:val="single" w:color="D8D8D8" w:sz="4" w:space="0"/>
              <w:right w:val="single" w:color="D8D8D8" w:sz="8"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w:t>
            </w:r>
          </w:p>
        </w:tc>
        <w:tc>
          <w:tcPr>
            <w:tcW w:w="1508" w:type="dxa"/>
            <w:tcBorders>
              <w:top w:val="single" w:color="D8D8D8" w:sz="4" w:space="0"/>
              <w:left w:val="single" w:color="D8D8D8" w:sz="8"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16" w:type="dxa"/>
            <w:vMerge w:val="continue"/>
            <w:tcBorders>
              <w:top w:val="single" w:color="D8D8D8" w:sz="4" w:space="0"/>
              <w:left w:val="single" w:color="D8D8D8" w:sz="8" w:space="0"/>
              <w:right w:val="single" w:color="D8D8D8" w:sz="4" w:space="0"/>
            </w:tcBorders>
            <w:shd w:val="clear" w:color="auto" w:fill="FFFFFF"/>
            <w:vAlign w:val="center"/>
          </w:tcPr>
          <w:p>
            <w:pPr>
              <w:widowControl/>
              <w:topLinePunct/>
              <w:spacing w:line="560" w:lineRule="exact"/>
              <w:jc w:val="center"/>
              <w:rPr>
                <w:rFonts w:ascii="仿宋" w:hAnsi="仿宋" w:eastAsia="仿宋" w:cs="仿宋"/>
                <w:b/>
                <w:bCs/>
                <w:color w:val="000000"/>
                <w:kern w:val="0"/>
                <w:szCs w:val="21"/>
              </w:rPr>
            </w:pPr>
          </w:p>
        </w:tc>
        <w:tc>
          <w:tcPr>
            <w:tcW w:w="3482" w:type="dxa"/>
            <w:tcBorders>
              <w:top w:val="single" w:color="D8D8D8" w:sz="4" w:space="0"/>
              <w:left w:val="single" w:color="D8D8D8" w:sz="4"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 xml:space="preserve"> “三全育人”体制机制试点单位</w:t>
            </w:r>
          </w:p>
        </w:tc>
        <w:tc>
          <w:tcPr>
            <w:tcW w:w="1916" w:type="dxa"/>
            <w:tcBorders>
              <w:top w:val="single" w:color="D8D8D8" w:sz="4" w:space="0"/>
              <w:left w:val="single" w:color="D8D8D8" w:sz="4" w:space="0"/>
              <w:bottom w:val="single" w:color="D8D8D8" w:sz="4" w:space="0"/>
              <w:right w:val="single" w:color="D8D8D8" w:sz="8"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w:t>
            </w:r>
          </w:p>
        </w:tc>
        <w:tc>
          <w:tcPr>
            <w:tcW w:w="1508" w:type="dxa"/>
            <w:tcBorders>
              <w:top w:val="single" w:color="D8D8D8" w:sz="4" w:space="0"/>
              <w:left w:val="single" w:color="D8D8D8" w:sz="8"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16" w:type="dxa"/>
            <w:vMerge w:val="continue"/>
            <w:tcBorders>
              <w:left w:val="single" w:color="D8D8D8" w:sz="8" w:space="0"/>
              <w:right w:val="single" w:color="D8D8D8" w:sz="4" w:space="0"/>
            </w:tcBorders>
            <w:shd w:val="clear" w:color="auto" w:fill="FFFFFF"/>
            <w:vAlign w:val="center"/>
          </w:tcPr>
          <w:p>
            <w:pPr>
              <w:widowControl/>
              <w:topLinePunct/>
              <w:spacing w:line="560" w:lineRule="exact"/>
              <w:jc w:val="center"/>
              <w:rPr>
                <w:rFonts w:ascii="仿宋" w:hAnsi="仿宋" w:eastAsia="仿宋" w:cs="仿宋"/>
                <w:b/>
                <w:bCs/>
                <w:color w:val="000000"/>
                <w:kern w:val="0"/>
                <w:szCs w:val="21"/>
              </w:rPr>
            </w:pPr>
          </w:p>
        </w:tc>
        <w:tc>
          <w:tcPr>
            <w:tcW w:w="3482" w:type="dxa"/>
            <w:tcBorders>
              <w:top w:val="single" w:color="D8D8D8" w:sz="4" w:space="0"/>
              <w:left w:val="single" w:color="D8D8D8" w:sz="4"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党建工作标杆院系</w:t>
            </w:r>
          </w:p>
        </w:tc>
        <w:tc>
          <w:tcPr>
            <w:tcW w:w="1916" w:type="dxa"/>
            <w:tcBorders>
              <w:top w:val="single" w:color="D8D8D8" w:sz="4" w:space="0"/>
              <w:left w:val="single" w:color="D8D8D8" w:sz="4" w:space="0"/>
              <w:bottom w:val="single" w:color="D8D8D8" w:sz="4" w:space="0"/>
              <w:right w:val="single" w:color="D8D8D8" w:sz="8"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w:t>
            </w:r>
          </w:p>
        </w:tc>
        <w:tc>
          <w:tcPr>
            <w:tcW w:w="1508" w:type="dxa"/>
            <w:tcBorders>
              <w:top w:val="single" w:color="D8D8D8" w:sz="4" w:space="0"/>
              <w:left w:val="single" w:color="D8D8D8" w:sz="8"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16" w:type="dxa"/>
            <w:vMerge w:val="continue"/>
            <w:tcBorders>
              <w:left w:val="single" w:color="D8D8D8" w:sz="8" w:space="0"/>
              <w:right w:val="single" w:color="D8D8D8" w:sz="4" w:space="0"/>
            </w:tcBorders>
            <w:shd w:val="clear" w:color="auto" w:fill="FFFFFF"/>
            <w:vAlign w:val="center"/>
          </w:tcPr>
          <w:p>
            <w:pPr>
              <w:widowControl/>
              <w:topLinePunct/>
              <w:spacing w:line="560" w:lineRule="exact"/>
              <w:jc w:val="center"/>
              <w:rPr>
                <w:rFonts w:ascii="仿宋" w:hAnsi="仿宋" w:eastAsia="仿宋" w:cs="仿宋"/>
                <w:b/>
                <w:bCs/>
                <w:color w:val="000000"/>
                <w:kern w:val="0"/>
                <w:szCs w:val="21"/>
              </w:rPr>
            </w:pPr>
          </w:p>
        </w:tc>
        <w:tc>
          <w:tcPr>
            <w:tcW w:w="3482" w:type="dxa"/>
            <w:tcBorders>
              <w:top w:val="single" w:color="D8D8D8" w:sz="4" w:space="0"/>
              <w:left w:val="single" w:color="D8D8D8" w:sz="4"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党建工作样板支部</w:t>
            </w:r>
          </w:p>
        </w:tc>
        <w:tc>
          <w:tcPr>
            <w:tcW w:w="1916" w:type="dxa"/>
            <w:tcBorders>
              <w:top w:val="single" w:color="D8D8D8" w:sz="4" w:space="0"/>
              <w:left w:val="single" w:color="D8D8D8" w:sz="4" w:space="0"/>
              <w:bottom w:val="single" w:color="D8D8D8" w:sz="4" w:space="0"/>
              <w:right w:val="single" w:color="D8D8D8" w:sz="8"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w:t>
            </w:r>
          </w:p>
        </w:tc>
        <w:tc>
          <w:tcPr>
            <w:tcW w:w="1508" w:type="dxa"/>
            <w:tcBorders>
              <w:top w:val="single" w:color="D8D8D8" w:sz="4" w:space="0"/>
              <w:left w:val="single" w:color="D8D8D8" w:sz="8"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16" w:type="dxa"/>
            <w:vMerge w:val="continue"/>
            <w:tcBorders>
              <w:left w:val="single" w:color="D8D8D8" w:sz="8" w:space="0"/>
              <w:right w:val="single" w:color="D8D8D8" w:sz="4" w:space="0"/>
            </w:tcBorders>
            <w:shd w:val="clear" w:color="auto" w:fill="FFFFFF"/>
            <w:vAlign w:val="center"/>
          </w:tcPr>
          <w:p>
            <w:pPr>
              <w:widowControl/>
              <w:topLinePunct/>
              <w:spacing w:line="560" w:lineRule="exact"/>
              <w:jc w:val="center"/>
              <w:rPr>
                <w:rFonts w:ascii="仿宋" w:hAnsi="仿宋" w:eastAsia="仿宋" w:cs="仿宋"/>
                <w:b/>
                <w:bCs/>
                <w:color w:val="000000"/>
                <w:kern w:val="0"/>
                <w:szCs w:val="21"/>
              </w:rPr>
            </w:pPr>
          </w:p>
        </w:tc>
        <w:tc>
          <w:tcPr>
            <w:tcW w:w="3482" w:type="dxa"/>
            <w:tcBorders>
              <w:top w:val="single" w:color="D8D8D8" w:sz="4" w:space="0"/>
              <w:left w:val="single" w:color="D8D8D8" w:sz="4"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党建创新工作案例</w:t>
            </w:r>
          </w:p>
        </w:tc>
        <w:tc>
          <w:tcPr>
            <w:tcW w:w="1916" w:type="dxa"/>
            <w:tcBorders>
              <w:top w:val="single" w:color="D8D8D8" w:sz="4" w:space="0"/>
              <w:left w:val="single" w:color="D8D8D8" w:sz="4" w:space="0"/>
              <w:bottom w:val="single" w:color="D8D8D8" w:sz="4" w:space="0"/>
              <w:right w:val="single" w:color="D8D8D8" w:sz="8"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w:t>
            </w:r>
          </w:p>
        </w:tc>
        <w:tc>
          <w:tcPr>
            <w:tcW w:w="1508" w:type="dxa"/>
            <w:tcBorders>
              <w:top w:val="single" w:color="D8D8D8" w:sz="4" w:space="0"/>
              <w:left w:val="single" w:color="D8D8D8" w:sz="8"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16" w:type="dxa"/>
            <w:tcBorders>
              <w:top w:val="single" w:color="D8D8D8" w:sz="4" w:space="0"/>
              <w:left w:val="single" w:color="D8D8D8" w:sz="8"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教学成果奖</w:t>
            </w:r>
          </w:p>
        </w:tc>
        <w:tc>
          <w:tcPr>
            <w:tcW w:w="3482" w:type="dxa"/>
            <w:tcBorders>
              <w:top w:val="single" w:color="D8D8D8" w:sz="4" w:space="0"/>
              <w:left w:val="single" w:color="D8D8D8" w:sz="4"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新增教育教学成果奖</w:t>
            </w:r>
          </w:p>
        </w:tc>
        <w:tc>
          <w:tcPr>
            <w:tcW w:w="1916" w:type="dxa"/>
            <w:tcBorders>
              <w:top w:val="single" w:color="D8D8D8" w:sz="4" w:space="0"/>
              <w:left w:val="single" w:color="D8D8D8" w:sz="4" w:space="0"/>
              <w:bottom w:val="single" w:color="D8D8D8" w:sz="4" w:space="0"/>
              <w:right w:val="single" w:color="D8D8D8" w:sz="8"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w:t>
            </w:r>
          </w:p>
        </w:tc>
        <w:tc>
          <w:tcPr>
            <w:tcW w:w="1508" w:type="dxa"/>
            <w:tcBorders>
              <w:top w:val="single" w:color="D8D8D8" w:sz="4" w:space="0"/>
              <w:left w:val="single" w:color="D8D8D8" w:sz="8"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16" w:type="dxa"/>
            <w:vMerge w:val="restart"/>
            <w:tcBorders>
              <w:top w:val="single" w:color="D8D8D8" w:sz="4" w:space="0"/>
              <w:left w:val="single" w:color="D8D8D8" w:sz="8"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师资队伍建设</w:t>
            </w:r>
          </w:p>
        </w:tc>
        <w:tc>
          <w:tcPr>
            <w:tcW w:w="3482" w:type="dxa"/>
            <w:tcBorders>
              <w:top w:val="single" w:color="D8D8D8" w:sz="4" w:space="0"/>
              <w:left w:val="single" w:color="D8D8D8" w:sz="4"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新增教学名师与教学团队</w:t>
            </w:r>
          </w:p>
        </w:tc>
        <w:tc>
          <w:tcPr>
            <w:tcW w:w="1916" w:type="dxa"/>
            <w:tcBorders>
              <w:top w:val="single" w:color="D8D8D8" w:sz="4" w:space="0"/>
              <w:left w:val="single" w:color="D8D8D8" w:sz="4" w:space="0"/>
              <w:bottom w:val="single" w:color="D8D8D8" w:sz="4" w:space="0"/>
              <w:right w:val="single" w:color="D8D8D8" w:sz="8"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≥1</w:t>
            </w:r>
          </w:p>
        </w:tc>
        <w:tc>
          <w:tcPr>
            <w:tcW w:w="1508" w:type="dxa"/>
            <w:tcBorders>
              <w:top w:val="single" w:color="D8D8D8" w:sz="4" w:space="0"/>
              <w:left w:val="single" w:color="D8D8D8" w:sz="8"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16" w:type="dxa"/>
            <w:vMerge w:val="continue"/>
            <w:tcBorders>
              <w:top w:val="single" w:color="D8D8D8" w:sz="4" w:space="0"/>
              <w:left w:val="single" w:color="D8D8D8" w:sz="8"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b/>
                <w:bCs/>
                <w:color w:val="000000"/>
                <w:kern w:val="0"/>
                <w:szCs w:val="21"/>
              </w:rPr>
            </w:pPr>
          </w:p>
        </w:tc>
        <w:tc>
          <w:tcPr>
            <w:tcW w:w="3482" w:type="dxa"/>
            <w:tcBorders>
              <w:top w:val="single" w:color="D8D8D8" w:sz="4" w:space="0"/>
              <w:left w:val="single" w:color="D8D8D8" w:sz="4"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新增教学创新团队</w:t>
            </w:r>
          </w:p>
        </w:tc>
        <w:tc>
          <w:tcPr>
            <w:tcW w:w="1916" w:type="dxa"/>
            <w:tcBorders>
              <w:top w:val="single" w:color="D8D8D8" w:sz="4" w:space="0"/>
              <w:left w:val="single" w:color="D8D8D8" w:sz="4" w:space="0"/>
              <w:bottom w:val="single" w:color="D8D8D8" w:sz="4" w:space="0"/>
              <w:right w:val="single" w:color="D8D8D8" w:sz="8"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w:t>
            </w:r>
          </w:p>
        </w:tc>
        <w:tc>
          <w:tcPr>
            <w:tcW w:w="1508" w:type="dxa"/>
            <w:tcBorders>
              <w:top w:val="single" w:color="D8D8D8" w:sz="4" w:space="0"/>
              <w:left w:val="single" w:color="D8D8D8" w:sz="8"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16" w:type="dxa"/>
            <w:vMerge w:val="continue"/>
            <w:tcBorders>
              <w:top w:val="single" w:color="D8D8D8" w:sz="4" w:space="0"/>
              <w:left w:val="single" w:color="D8D8D8" w:sz="8"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b/>
                <w:bCs/>
                <w:color w:val="000000"/>
                <w:kern w:val="0"/>
                <w:szCs w:val="21"/>
              </w:rPr>
            </w:pPr>
          </w:p>
        </w:tc>
        <w:tc>
          <w:tcPr>
            <w:tcW w:w="3482" w:type="dxa"/>
            <w:tcBorders>
              <w:top w:val="single" w:color="D8D8D8" w:sz="4" w:space="0"/>
              <w:left w:val="single" w:color="D8D8D8" w:sz="4"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新增技能大师工作室</w:t>
            </w:r>
          </w:p>
        </w:tc>
        <w:tc>
          <w:tcPr>
            <w:tcW w:w="1916" w:type="dxa"/>
            <w:tcBorders>
              <w:top w:val="single" w:color="D8D8D8" w:sz="4" w:space="0"/>
              <w:left w:val="single" w:color="D8D8D8" w:sz="4" w:space="0"/>
              <w:bottom w:val="single" w:color="D8D8D8" w:sz="4" w:space="0"/>
              <w:right w:val="single" w:color="D8D8D8" w:sz="8"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w:t>
            </w:r>
          </w:p>
        </w:tc>
        <w:tc>
          <w:tcPr>
            <w:tcW w:w="1508" w:type="dxa"/>
            <w:tcBorders>
              <w:top w:val="single" w:color="D8D8D8" w:sz="4" w:space="0"/>
              <w:left w:val="single" w:color="D8D8D8" w:sz="8"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16" w:type="dxa"/>
            <w:vMerge w:val="continue"/>
            <w:tcBorders>
              <w:top w:val="single" w:color="D8D8D8" w:sz="4" w:space="0"/>
              <w:left w:val="single" w:color="D8D8D8" w:sz="8"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b/>
                <w:bCs/>
                <w:color w:val="000000"/>
                <w:kern w:val="0"/>
                <w:szCs w:val="21"/>
              </w:rPr>
            </w:pPr>
          </w:p>
        </w:tc>
        <w:tc>
          <w:tcPr>
            <w:tcW w:w="3482" w:type="dxa"/>
            <w:tcBorders>
              <w:top w:val="single" w:color="D8D8D8" w:sz="4" w:space="0"/>
              <w:left w:val="single" w:color="D8D8D8" w:sz="4"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新增高层次技能型兼职教师</w:t>
            </w:r>
          </w:p>
        </w:tc>
        <w:tc>
          <w:tcPr>
            <w:tcW w:w="1916" w:type="dxa"/>
            <w:tcBorders>
              <w:top w:val="single" w:color="D8D8D8" w:sz="4" w:space="0"/>
              <w:left w:val="single" w:color="D8D8D8" w:sz="4" w:space="0"/>
              <w:bottom w:val="single" w:color="D8D8D8" w:sz="4" w:space="0"/>
              <w:right w:val="single" w:color="D8D8D8" w:sz="8"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w:t>
            </w:r>
          </w:p>
        </w:tc>
        <w:tc>
          <w:tcPr>
            <w:tcW w:w="1508" w:type="dxa"/>
            <w:tcBorders>
              <w:top w:val="single" w:color="D8D8D8" w:sz="4" w:space="0"/>
              <w:left w:val="single" w:color="D8D8D8" w:sz="8"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16" w:type="dxa"/>
            <w:vMerge w:val="continue"/>
            <w:tcBorders>
              <w:top w:val="single" w:color="D8D8D8" w:sz="4" w:space="0"/>
              <w:left w:val="single" w:color="D8D8D8" w:sz="8"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b/>
                <w:bCs/>
                <w:color w:val="000000"/>
                <w:kern w:val="0"/>
                <w:szCs w:val="21"/>
              </w:rPr>
            </w:pPr>
          </w:p>
        </w:tc>
        <w:tc>
          <w:tcPr>
            <w:tcW w:w="3482" w:type="dxa"/>
            <w:tcBorders>
              <w:top w:val="single" w:color="D8D8D8" w:sz="4" w:space="0"/>
              <w:left w:val="single" w:color="D8D8D8" w:sz="4"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新增示范性职工培训基地</w:t>
            </w:r>
          </w:p>
        </w:tc>
        <w:tc>
          <w:tcPr>
            <w:tcW w:w="1916" w:type="dxa"/>
            <w:tcBorders>
              <w:top w:val="single" w:color="D8D8D8" w:sz="4" w:space="0"/>
              <w:left w:val="single" w:color="D8D8D8" w:sz="4" w:space="0"/>
              <w:bottom w:val="single" w:color="D8D8D8" w:sz="4" w:space="0"/>
              <w:right w:val="single" w:color="D8D8D8" w:sz="8"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w:t>
            </w:r>
          </w:p>
        </w:tc>
        <w:tc>
          <w:tcPr>
            <w:tcW w:w="1508" w:type="dxa"/>
            <w:tcBorders>
              <w:top w:val="single" w:color="D8D8D8" w:sz="4" w:space="0"/>
              <w:left w:val="single" w:color="D8D8D8" w:sz="8"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16" w:type="dxa"/>
            <w:vMerge w:val="restart"/>
            <w:tcBorders>
              <w:top w:val="single" w:color="D8D8D8" w:sz="4" w:space="0"/>
              <w:left w:val="single" w:color="D8D8D8" w:sz="8"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专业建设</w:t>
            </w:r>
          </w:p>
        </w:tc>
        <w:tc>
          <w:tcPr>
            <w:tcW w:w="3482" w:type="dxa"/>
            <w:tcBorders>
              <w:top w:val="single" w:color="D8D8D8" w:sz="4" w:space="0"/>
              <w:left w:val="single" w:color="D8D8D8" w:sz="4"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新增现代学徒制</w:t>
            </w:r>
          </w:p>
        </w:tc>
        <w:tc>
          <w:tcPr>
            <w:tcW w:w="1916" w:type="dxa"/>
            <w:tcBorders>
              <w:top w:val="single" w:color="D8D8D8" w:sz="4" w:space="0"/>
              <w:left w:val="single" w:color="D8D8D8" w:sz="4" w:space="0"/>
              <w:bottom w:val="single" w:color="D8D8D8" w:sz="4" w:space="0"/>
              <w:right w:val="single" w:color="D8D8D8" w:sz="8"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w:t>
            </w:r>
          </w:p>
        </w:tc>
        <w:tc>
          <w:tcPr>
            <w:tcW w:w="1508" w:type="dxa"/>
            <w:tcBorders>
              <w:top w:val="single" w:color="D8D8D8" w:sz="4" w:space="0"/>
              <w:left w:val="single" w:color="D8D8D8" w:sz="8"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16" w:type="dxa"/>
            <w:vMerge w:val="continue"/>
            <w:tcBorders>
              <w:top w:val="single" w:color="D8D8D8" w:sz="4" w:space="0"/>
              <w:left w:val="single" w:color="D8D8D8" w:sz="8"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b/>
                <w:bCs/>
                <w:color w:val="000000"/>
                <w:kern w:val="0"/>
                <w:szCs w:val="21"/>
              </w:rPr>
            </w:pPr>
          </w:p>
        </w:tc>
        <w:tc>
          <w:tcPr>
            <w:tcW w:w="3482" w:type="dxa"/>
            <w:tcBorders>
              <w:top w:val="single" w:color="D8D8D8" w:sz="4" w:space="0"/>
              <w:left w:val="single" w:color="D8D8D8" w:sz="4"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新增1+X证书试点</w:t>
            </w:r>
          </w:p>
        </w:tc>
        <w:tc>
          <w:tcPr>
            <w:tcW w:w="1916" w:type="dxa"/>
            <w:tcBorders>
              <w:top w:val="single" w:color="D8D8D8" w:sz="4" w:space="0"/>
              <w:left w:val="single" w:color="D8D8D8" w:sz="4" w:space="0"/>
              <w:bottom w:val="single" w:color="D8D8D8" w:sz="4" w:space="0"/>
              <w:right w:val="single" w:color="D8D8D8" w:sz="8"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w:t>
            </w:r>
          </w:p>
        </w:tc>
        <w:tc>
          <w:tcPr>
            <w:tcW w:w="1508" w:type="dxa"/>
            <w:tcBorders>
              <w:top w:val="single" w:color="D8D8D8" w:sz="4" w:space="0"/>
              <w:left w:val="single" w:color="D8D8D8" w:sz="8"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16" w:type="dxa"/>
            <w:vMerge w:val="restart"/>
            <w:tcBorders>
              <w:top w:val="single" w:color="D8D8D8" w:sz="4" w:space="0"/>
              <w:left w:val="single" w:color="D8D8D8" w:sz="8"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课程与教材</w:t>
            </w:r>
          </w:p>
        </w:tc>
        <w:tc>
          <w:tcPr>
            <w:tcW w:w="3482" w:type="dxa"/>
            <w:tcBorders>
              <w:top w:val="single" w:color="D8D8D8" w:sz="4" w:space="0"/>
              <w:left w:val="single" w:color="D8D8D8" w:sz="4"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新增精品在线开放课程</w:t>
            </w:r>
          </w:p>
        </w:tc>
        <w:tc>
          <w:tcPr>
            <w:tcW w:w="1916" w:type="dxa"/>
            <w:tcBorders>
              <w:top w:val="single" w:color="D8D8D8" w:sz="4" w:space="0"/>
              <w:left w:val="single" w:color="D8D8D8" w:sz="4" w:space="0"/>
              <w:bottom w:val="single" w:color="D8D8D8" w:sz="4" w:space="0"/>
              <w:right w:val="single" w:color="D8D8D8" w:sz="8"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≥2</w:t>
            </w:r>
          </w:p>
        </w:tc>
        <w:tc>
          <w:tcPr>
            <w:tcW w:w="1508" w:type="dxa"/>
            <w:tcBorders>
              <w:top w:val="single" w:color="D8D8D8" w:sz="4" w:space="0"/>
              <w:left w:val="single" w:color="D8D8D8" w:sz="8"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16" w:type="dxa"/>
            <w:vMerge w:val="continue"/>
            <w:tcBorders>
              <w:top w:val="single" w:color="D8D8D8" w:sz="4" w:space="0"/>
              <w:left w:val="single" w:color="D8D8D8" w:sz="8"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b/>
                <w:bCs/>
                <w:color w:val="000000"/>
                <w:kern w:val="0"/>
                <w:szCs w:val="21"/>
              </w:rPr>
            </w:pPr>
          </w:p>
        </w:tc>
        <w:tc>
          <w:tcPr>
            <w:tcW w:w="3482" w:type="dxa"/>
            <w:tcBorders>
              <w:top w:val="single" w:color="D8D8D8" w:sz="4" w:space="0"/>
              <w:left w:val="single" w:color="D8D8D8" w:sz="4"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新增职业教育教学资源库</w:t>
            </w:r>
          </w:p>
        </w:tc>
        <w:tc>
          <w:tcPr>
            <w:tcW w:w="1916" w:type="dxa"/>
            <w:tcBorders>
              <w:top w:val="single" w:color="D8D8D8" w:sz="4" w:space="0"/>
              <w:left w:val="single" w:color="D8D8D8" w:sz="4" w:space="0"/>
              <w:bottom w:val="single" w:color="D8D8D8" w:sz="4" w:space="0"/>
              <w:right w:val="single" w:color="D8D8D8" w:sz="8"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w:t>
            </w:r>
          </w:p>
        </w:tc>
        <w:tc>
          <w:tcPr>
            <w:tcW w:w="1508" w:type="dxa"/>
            <w:tcBorders>
              <w:top w:val="single" w:color="D8D8D8" w:sz="4" w:space="0"/>
              <w:left w:val="single" w:color="D8D8D8" w:sz="8"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16" w:type="dxa"/>
            <w:vMerge w:val="continue"/>
            <w:tcBorders>
              <w:top w:val="single" w:color="D8D8D8" w:sz="4" w:space="0"/>
              <w:left w:val="single" w:color="D8D8D8" w:sz="8"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b/>
                <w:bCs/>
                <w:color w:val="000000"/>
                <w:kern w:val="0"/>
                <w:szCs w:val="21"/>
              </w:rPr>
            </w:pPr>
          </w:p>
        </w:tc>
        <w:tc>
          <w:tcPr>
            <w:tcW w:w="3482" w:type="dxa"/>
            <w:tcBorders>
              <w:top w:val="single" w:color="D8D8D8" w:sz="4" w:space="0"/>
              <w:left w:val="single" w:color="D8D8D8" w:sz="4"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新增优质继续教育网络课程</w:t>
            </w:r>
          </w:p>
        </w:tc>
        <w:tc>
          <w:tcPr>
            <w:tcW w:w="1916" w:type="dxa"/>
            <w:tcBorders>
              <w:top w:val="single" w:color="D8D8D8" w:sz="4" w:space="0"/>
              <w:left w:val="single" w:color="D8D8D8" w:sz="4" w:space="0"/>
              <w:bottom w:val="single" w:color="D8D8D8" w:sz="4" w:space="0"/>
              <w:right w:val="single" w:color="D8D8D8" w:sz="8"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w:t>
            </w:r>
          </w:p>
        </w:tc>
        <w:tc>
          <w:tcPr>
            <w:tcW w:w="1508" w:type="dxa"/>
            <w:tcBorders>
              <w:top w:val="single" w:color="D8D8D8" w:sz="4" w:space="0"/>
              <w:left w:val="single" w:color="D8D8D8" w:sz="8"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16" w:type="dxa"/>
            <w:vMerge w:val="continue"/>
            <w:tcBorders>
              <w:top w:val="single" w:color="D8D8D8" w:sz="4" w:space="0"/>
              <w:left w:val="single" w:color="D8D8D8" w:sz="8"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b/>
                <w:bCs/>
                <w:color w:val="000000"/>
                <w:kern w:val="0"/>
                <w:szCs w:val="21"/>
              </w:rPr>
            </w:pPr>
          </w:p>
        </w:tc>
        <w:tc>
          <w:tcPr>
            <w:tcW w:w="3482" w:type="dxa"/>
            <w:tcBorders>
              <w:top w:val="single" w:color="D8D8D8" w:sz="4" w:space="0"/>
              <w:left w:val="single" w:color="D8D8D8" w:sz="4"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新增优秀质资进社区项目</w:t>
            </w:r>
          </w:p>
        </w:tc>
        <w:tc>
          <w:tcPr>
            <w:tcW w:w="1916" w:type="dxa"/>
            <w:tcBorders>
              <w:top w:val="single" w:color="D8D8D8" w:sz="4" w:space="0"/>
              <w:left w:val="single" w:color="D8D8D8" w:sz="4" w:space="0"/>
              <w:bottom w:val="single" w:color="D8D8D8" w:sz="4" w:space="0"/>
              <w:right w:val="single" w:color="D8D8D8" w:sz="8"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w:t>
            </w:r>
          </w:p>
        </w:tc>
        <w:tc>
          <w:tcPr>
            <w:tcW w:w="1508" w:type="dxa"/>
            <w:tcBorders>
              <w:top w:val="single" w:color="D8D8D8" w:sz="4" w:space="0"/>
              <w:left w:val="single" w:color="D8D8D8" w:sz="8"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16" w:type="dxa"/>
            <w:vMerge w:val="continue"/>
            <w:tcBorders>
              <w:top w:val="single" w:color="D8D8D8" w:sz="4" w:space="0"/>
              <w:left w:val="single" w:color="D8D8D8" w:sz="8"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b/>
                <w:bCs/>
                <w:color w:val="000000"/>
                <w:kern w:val="0"/>
                <w:szCs w:val="21"/>
              </w:rPr>
            </w:pPr>
          </w:p>
        </w:tc>
        <w:tc>
          <w:tcPr>
            <w:tcW w:w="3482" w:type="dxa"/>
            <w:tcBorders>
              <w:top w:val="single" w:color="D8D8D8" w:sz="4" w:space="0"/>
              <w:left w:val="single" w:color="D8D8D8" w:sz="4" w:space="0"/>
              <w:bottom w:val="single" w:color="D8D8D8" w:sz="4" w:space="0"/>
              <w:right w:val="single" w:color="D8D8D8" w:sz="4" w:space="0"/>
            </w:tcBorders>
            <w:shd w:val="clear" w:color="auto" w:fill="FFFFFF"/>
            <w:vAlign w:val="center"/>
          </w:tcPr>
          <w:p>
            <w:pPr>
              <w:widowControl/>
              <w:topLinePunct/>
              <w:jc w:val="center"/>
              <w:rPr>
                <w:rFonts w:ascii="仿宋" w:hAnsi="仿宋" w:eastAsia="仿宋" w:cs="仿宋"/>
                <w:color w:val="000000"/>
                <w:kern w:val="0"/>
                <w:szCs w:val="21"/>
              </w:rPr>
            </w:pPr>
            <w:r>
              <w:rPr>
                <w:rFonts w:hint="eastAsia" w:ascii="仿宋" w:hAnsi="仿宋" w:eastAsia="仿宋" w:cs="仿宋"/>
                <w:color w:val="000000"/>
                <w:kern w:val="0"/>
                <w:szCs w:val="21"/>
              </w:rPr>
              <w:t>新增国家规划教材或优秀“十四五规划”教材</w:t>
            </w:r>
          </w:p>
        </w:tc>
        <w:tc>
          <w:tcPr>
            <w:tcW w:w="1916" w:type="dxa"/>
            <w:tcBorders>
              <w:top w:val="single" w:color="D8D8D8" w:sz="4" w:space="0"/>
              <w:left w:val="single" w:color="D8D8D8" w:sz="4" w:space="0"/>
              <w:bottom w:val="single" w:color="D8D8D8" w:sz="4" w:space="0"/>
              <w:right w:val="single" w:color="D8D8D8" w:sz="8"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≥5</w:t>
            </w:r>
          </w:p>
        </w:tc>
        <w:tc>
          <w:tcPr>
            <w:tcW w:w="1508" w:type="dxa"/>
            <w:tcBorders>
              <w:top w:val="single" w:color="D8D8D8" w:sz="4" w:space="0"/>
              <w:left w:val="single" w:color="D8D8D8" w:sz="8"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16" w:type="dxa"/>
            <w:vMerge w:val="restart"/>
            <w:tcBorders>
              <w:top w:val="single" w:color="D8D8D8" w:sz="4" w:space="0"/>
              <w:left w:val="single" w:color="D8D8D8" w:sz="8"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实训基地</w:t>
            </w:r>
          </w:p>
        </w:tc>
        <w:tc>
          <w:tcPr>
            <w:tcW w:w="3482" w:type="dxa"/>
            <w:tcBorders>
              <w:top w:val="single" w:color="D8D8D8" w:sz="4" w:space="0"/>
              <w:left w:val="single" w:color="D8D8D8" w:sz="4"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新增校内产教融合实践基地</w:t>
            </w:r>
          </w:p>
        </w:tc>
        <w:tc>
          <w:tcPr>
            <w:tcW w:w="1916" w:type="dxa"/>
            <w:tcBorders>
              <w:top w:val="single" w:color="D8D8D8" w:sz="4" w:space="0"/>
              <w:left w:val="single" w:color="D8D8D8" w:sz="4" w:space="0"/>
              <w:bottom w:val="single" w:color="D8D8D8" w:sz="4" w:space="0"/>
              <w:right w:val="single" w:color="D8D8D8" w:sz="8"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w:t>
            </w:r>
          </w:p>
        </w:tc>
        <w:tc>
          <w:tcPr>
            <w:tcW w:w="1508" w:type="dxa"/>
            <w:tcBorders>
              <w:top w:val="single" w:color="D8D8D8" w:sz="4" w:space="0"/>
              <w:left w:val="single" w:color="D8D8D8" w:sz="8"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16" w:type="dxa"/>
            <w:vMerge w:val="continue"/>
            <w:tcBorders>
              <w:top w:val="single" w:color="D8D8D8" w:sz="4" w:space="0"/>
              <w:left w:val="single" w:color="D8D8D8" w:sz="8"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b/>
                <w:bCs/>
                <w:color w:val="000000"/>
                <w:kern w:val="0"/>
                <w:szCs w:val="21"/>
              </w:rPr>
            </w:pPr>
          </w:p>
        </w:tc>
        <w:tc>
          <w:tcPr>
            <w:tcW w:w="3482" w:type="dxa"/>
            <w:tcBorders>
              <w:top w:val="single" w:color="D8D8D8" w:sz="4" w:space="0"/>
              <w:left w:val="single" w:color="D8D8D8" w:sz="4"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新增虚拟仿真实训基地</w:t>
            </w:r>
          </w:p>
        </w:tc>
        <w:tc>
          <w:tcPr>
            <w:tcW w:w="1916" w:type="dxa"/>
            <w:tcBorders>
              <w:top w:val="single" w:color="D8D8D8" w:sz="4" w:space="0"/>
              <w:left w:val="single" w:color="D8D8D8" w:sz="4" w:space="0"/>
              <w:bottom w:val="single" w:color="D8D8D8" w:sz="4" w:space="0"/>
              <w:right w:val="single" w:color="D8D8D8" w:sz="8"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w:t>
            </w:r>
          </w:p>
        </w:tc>
        <w:tc>
          <w:tcPr>
            <w:tcW w:w="1508" w:type="dxa"/>
            <w:tcBorders>
              <w:top w:val="single" w:color="D8D8D8" w:sz="4" w:space="0"/>
              <w:left w:val="single" w:color="D8D8D8" w:sz="8"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16" w:type="dxa"/>
            <w:vMerge w:val="continue"/>
            <w:tcBorders>
              <w:top w:val="single" w:color="D8D8D8" w:sz="4" w:space="0"/>
              <w:left w:val="single" w:color="D8D8D8" w:sz="8"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b/>
                <w:bCs/>
                <w:color w:val="000000"/>
                <w:kern w:val="0"/>
                <w:szCs w:val="21"/>
              </w:rPr>
            </w:pPr>
          </w:p>
        </w:tc>
        <w:tc>
          <w:tcPr>
            <w:tcW w:w="3482" w:type="dxa"/>
            <w:tcBorders>
              <w:top w:val="single" w:color="D8D8D8" w:sz="4" w:space="0"/>
              <w:left w:val="single" w:color="D8D8D8" w:sz="4"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新增大学生校外实训教学基地</w:t>
            </w:r>
          </w:p>
        </w:tc>
        <w:tc>
          <w:tcPr>
            <w:tcW w:w="1916" w:type="dxa"/>
            <w:tcBorders>
              <w:top w:val="single" w:color="D8D8D8" w:sz="4" w:space="0"/>
              <w:left w:val="single" w:color="D8D8D8" w:sz="4" w:space="0"/>
              <w:bottom w:val="single" w:color="D8D8D8" w:sz="4" w:space="0"/>
              <w:right w:val="single" w:color="D8D8D8" w:sz="8"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w:t>
            </w:r>
          </w:p>
        </w:tc>
        <w:tc>
          <w:tcPr>
            <w:tcW w:w="1508" w:type="dxa"/>
            <w:tcBorders>
              <w:top w:val="single" w:color="D8D8D8" w:sz="4" w:space="0"/>
              <w:left w:val="single" w:color="D8D8D8" w:sz="8"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16" w:type="dxa"/>
            <w:vMerge w:val="continue"/>
            <w:tcBorders>
              <w:top w:val="single" w:color="D8D8D8" w:sz="4" w:space="0"/>
              <w:left w:val="single" w:color="D8D8D8" w:sz="8"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b/>
                <w:bCs/>
                <w:color w:val="000000"/>
                <w:kern w:val="0"/>
                <w:szCs w:val="21"/>
              </w:rPr>
            </w:pPr>
          </w:p>
        </w:tc>
        <w:tc>
          <w:tcPr>
            <w:tcW w:w="3482" w:type="dxa"/>
            <w:tcBorders>
              <w:top w:val="single" w:color="D8D8D8" w:sz="4" w:space="0"/>
              <w:left w:val="single" w:color="D8D8D8" w:sz="4"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新增示范性继续教育基地</w:t>
            </w:r>
          </w:p>
        </w:tc>
        <w:tc>
          <w:tcPr>
            <w:tcW w:w="1916" w:type="dxa"/>
            <w:tcBorders>
              <w:top w:val="single" w:color="D8D8D8" w:sz="4" w:space="0"/>
              <w:left w:val="single" w:color="D8D8D8" w:sz="4" w:space="0"/>
              <w:bottom w:val="single" w:color="D8D8D8" w:sz="4" w:space="0"/>
              <w:right w:val="single" w:color="D8D8D8" w:sz="8"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w:t>
            </w:r>
          </w:p>
        </w:tc>
        <w:tc>
          <w:tcPr>
            <w:tcW w:w="1508" w:type="dxa"/>
            <w:tcBorders>
              <w:top w:val="single" w:color="D8D8D8" w:sz="4" w:space="0"/>
              <w:left w:val="single" w:color="D8D8D8" w:sz="8"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16" w:type="dxa"/>
            <w:vMerge w:val="continue"/>
            <w:tcBorders>
              <w:top w:val="single" w:color="D8D8D8" w:sz="4" w:space="0"/>
              <w:left w:val="single" w:color="D8D8D8" w:sz="8"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b/>
                <w:bCs/>
                <w:color w:val="000000"/>
                <w:kern w:val="0"/>
                <w:szCs w:val="21"/>
              </w:rPr>
            </w:pPr>
          </w:p>
        </w:tc>
        <w:tc>
          <w:tcPr>
            <w:tcW w:w="3482" w:type="dxa"/>
            <w:tcBorders>
              <w:top w:val="single" w:color="D8D8D8" w:sz="4" w:space="0"/>
              <w:left w:val="single" w:color="D8D8D8" w:sz="4"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新增社会教育示范基地</w:t>
            </w:r>
          </w:p>
        </w:tc>
        <w:tc>
          <w:tcPr>
            <w:tcW w:w="1916" w:type="dxa"/>
            <w:tcBorders>
              <w:top w:val="single" w:color="D8D8D8" w:sz="4" w:space="0"/>
              <w:left w:val="single" w:color="D8D8D8" w:sz="4" w:space="0"/>
              <w:bottom w:val="single" w:color="D8D8D8" w:sz="4" w:space="0"/>
              <w:right w:val="single" w:color="D8D8D8" w:sz="8"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w:t>
            </w:r>
          </w:p>
        </w:tc>
        <w:tc>
          <w:tcPr>
            <w:tcW w:w="1508" w:type="dxa"/>
            <w:tcBorders>
              <w:top w:val="single" w:color="D8D8D8" w:sz="4" w:space="0"/>
              <w:left w:val="single" w:color="D8D8D8" w:sz="8"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16" w:type="dxa"/>
            <w:vMerge w:val="restart"/>
            <w:tcBorders>
              <w:top w:val="single" w:color="D8D8D8" w:sz="4" w:space="0"/>
              <w:left w:val="single" w:color="D8D8D8" w:sz="8" w:space="0"/>
              <w:right w:val="single" w:color="D8D8D8" w:sz="4" w:space="0"/>
            </w:tcBorders>
            <w:shd w:val="clear" w:color="auto" w:fill="FFFFFF"/>
            <w:vAlign w:val="center"/>
          </w:tcPr>
          <w:p>
            <w:pPr>
              <w:widowControl/>
              <w:topLinePunct/>
              <w:spacing w:line="560" w:lineRule="exact"/>
              <w:jc w:val="center"/>
              <w:rPr>
                <w:rFonts w:ascii="仿宋" w:hAnsi="仿宋" w:eastAsia="仿宋" w:cs="仿宋"/>
                <w:b/>
                <w:bCs/>
                <w:color w:val="000000"/>
                <w:kern w:val="0"/>
                <w:szCs w:val="21"/>
              </w:rPr>
            </w:pPr>
            <w:r>
              <w:rPr>
                <w:rFonts w:ascii="仿宋" w:hAnsi="仿宋" w:eastAsia="仿宋" w:cs="仿宋"/>
                <w:b/>
                <w:bCs/>
                <w:color w:val="000000"/>
                <w:kern w:val="0"/>
                <w:szCs w:val="21"/>
              </w:rPr>
              <w:t>产教融合项目</w:t>
            </w:r>
          </w:p>
        </w:tc>
        <w:tc>
          <w:tcPr>
            <w:tcW w:w="3482" w:type="dxa"/>
            <w:tcBorders>
              <w:top w:val="single" w:color="D8D8D8" w:sz="4" w:space="0"/>
              <w:left w:val="single" w:color="D8D8D8" w:sz="4"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新增示范性职业教育集团</w:t>
            </w:r>
          </w:p>
        </w:tc>
        <w:tc>
          <w:tcPr>
            <w:tcW w:w="1916" w:type="dxa"/>
            <w:tcBorders>
              <w:top w:val="single" w:color="D8D8D8" w:sz="4" w:space="0"/>
              <w:left w:val="single" w:color="D8D8D8" w:sz="4" w:space="0"/>
              <w:bottom w:val="single" w:color="D8D8D8" w:sz="4" w:space="0"/>
              <w:right w:val="single" w:color="D8D8D8" w:sz="8"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w:t>
            </w:r>
          </w:p>
        </w:tc>
        <w:tc>
          <w:tcPr>
            <w:tcW w:w="1508" w:type="dxa"/>
            <w:tcBorders>
              <w:top w:val="single" w:color="D8D8D8" w:sz="4" w:space="0"/>
              <w:left w:val="single" w:color="D8D8D8" w:sz="8"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16" w:type="dxa"/>
            <w:vMerge w:val="continue"/>
            <w:tcBorders>
              <w:left w:val="single" w:color="D8D8D8" w:sz="8" w:space="0"/>
              <w:right w:val="single" w:color="D8D8D8" w:sz="4" w:space="0"/>
            </w:tcBorders>
            <w:shd w:val="clear" w:color="auto" w:fill="FFFFFF"/>
            <w:vAlign w:val="center"/>
          </w:tcPr>
          <w:p>
            <w:pPr>
              <w:widowControl/>
              <w:topLinePunct/>
              <w:spacing w:line="560" w:lineRule="exact"/>
              <w:jc w:val="center"/>
              <w:rPr>
                <w:rFonts w:ascii="仿宋" w:hAnsi="仿宋" w:eastAsia="仿宋" w:cs="仿宋"/>
                <w:b/>
                <w:bCs/>
                <w:color w:val="000000"/>
                <w:kern w:val="0"/>
                <w:szCs w:val="21"/>
              </w:rPr>
            </w:pPr>
          </w:p>
        </w:tc>
        <w:tc>
          <w:tcPr>
            <w:tcW w:w="3482" w:type="dxa"/>
            <w:tcBorders>
              <w:top w:val="single" w:color="D8D8D8" w:sz="4" w:space="0"/>
              <w:left w:val="single" w:color="D8D8D8" w:sz="4"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新增现代产业学院</w:t>
            </w:r>
          </w:p>
        </w:tc>
        <w:tc>
          <w:tcPr>
            <w:tcW w:w="1916" w:type="dxa"/>
            <w:tcBorders>
              <w:top w:val="single" w:color="D8D8D8" w:sz="4" w:space="0"/>
              <w:left w:val="single" w:color="D8D8D8" w:sz="4" w:space="0"/>
              <w:bottom w:val="single" w:color="D8D8D8" w:sz="4" w:space="0"/>
              <w:right w:val="single" w:color="D8D8D8" w:sz="8"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w:t>
            </w:r>
          </w:p>
        </w:tc>
        <w:tc>
          <w:tcPr>
            <w:tcW w:w="1508" w:type="dxa"/>
            <w:tcBorders>
              <w:top w:val="single" w:color="D8D8D8" w:sz="4" w:space="0"/>
              <w:left w:val="single" w:color="D8D8D8" w:sz="8"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16" w:type="dxa"/>
            <w:vMerge w:val="continue"/>
            <w:tcBorders>
              <w:left w:val="single" w:color="D8D8D8" w:sz="8" w:space="0"/>
              <w:right w:val="single" w:color="D8D8D8" w:sz="4" w:space="0"/>
            </w:tcBorders>
            <w:shd w:val="clear" w:color="auto" w:fill="FFFFFF"/>
            <w:vAlign w:val="center"/>
          </w:tcPr>
          <w:p>
            <w:pPr>
              <w:widowControl/>
              <w:topLinePunct/>
              <w:spacing w:line="560" w:lineRule="exact"/>
              <w:jc w:val="center"/>
              <w:rPr>
                <w:rFonts w:ascii="仿宋" w:hAnsi="仿宋" w:eastAsia="仿宋" w:cs="仿宋"/>
                <w:b/>
                <w:bCs/>
                <w:color w:val="000000"/>
                <w:kern w:val="0"/>
                <w:szCs w:val="21"/>
              </w:rPr>
            </w:pPr>
          </w:p>
        </w:tc>
        <w:tc>
          <w:tcPr>
            <w:tcW w:w="3482" w:type="dxa"/>
            <w:tcBorders>
              <w:top w:val="single" w:color="D8D8D8" w:sz="4" w:space="0"/>
              <w:left w:val="single" w:color="D8D8D8" w:sz="4"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市域产教联合体</w:t>
            </w:r>
          </w:p>
        </w:tc>
        <w:tc>
          <w:tcPr>
            <w:tcW w:w="1916" w:type="dxa"/>
            <w:tcBorders>
              <w:top w:val="single" w:color="D8D8D8" w:sz="4" w:space="0"/>
              <w:left w:val="single" w:color="D8D8D8" w:sz="4" w:space="0"/>
              <w:bottom w:val="single" w:color="D8D8D8" w:sz="4" w:space="0"/>
              <w:right w:val="single" w:color="D8D8D8" w:sz="8"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1</w:t>
            </w:r>
          </w:p>
        </w:tc>
        <w:tc>
          <w:tcPr>
            <w:tcW w:w="1508" w:type="dxa"/>
            <w:tcBorders>
              <w:top w:val="single" w:color="D8D8D8" w:sz="4" w:space="0"/>
              <w:left w:val="single" w:color="D8D8D8" w:sz="8"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16" w:type="dxa"/>
            <w:vMerge w:val="continue"/>
            <w:tcBorders>
              <w:left w:val="single" w:color="D8D8D8" w:sz="8" w:space="0"/>
              <w:right w:val="single" w:color="D8D8D8" w:sz="4" w:space="0"/>
            </w:tcBorders>
            <w:shd w:val="clear" w:color="auto" w:fill="FFFFFF"/>
            <w:vAlign w:val="center"/>
          </w:tcPr>
          <w:p>
            <w:pPr>
              <w:widowControl/>
              <w:topLinePunct/>
              <w:spacing w:line="560" w:lineRule="exact"/>
              <w:jc w:val="center"/>
              <w:rPr>
                <w:rFonts w:ascii="仿宋" w:hAnsi="仿宋" w:eastAsia="仿宋" w:cs="仿宋"/>
                <w:b/>
                <w:bCs/>
                <w:color w:val="000000"/>
                <w:kern w:val="0"/>
                <w:szCs w:val="21"/>
              </w:rPr>
            </w:pPr>
          </w:p>
        </w:tc>
        <w:tc>
          <w:tcPr>
            <w:tcW w:w="3482" w:type="dxa"/>
            <w:tcBorders>
              <w:top w:val="single" w:color="D8D8D8" w:sz="4" w:space="0"/>
              <w:left w:val="single" w:color="D8D8D8" w:sz="4"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行业融合共同体</w:t>
            </w:r>
          </w:p>
        </w:tc>
        <w:tc>
          <w:tcPr>
            <w:tcW w:w="1916" w:type="dxa"/>
            <w:tcBorders>
              <w:top w:val="single" w:color="D8D8D8" w:sz="4" w:space="0"/>
              <w:left w:val="single" w:color="D8D8D8" w:sz="4" w:space="0"/>
              <w:bottom w:val="single" w:color="D8D8D8" w:sz="4" w:space="0"/>
              <w:right w:val="single" w:color="D8D8D8" w:sz="8"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w:t>
            </w:r>
          </w:p>
        </w:tc>
        <w:tc>
          <w:tcPr>
            <w:tcW w:w="1508" w:type="dxa"/>
            <w:tcBorders>
              <w:top w:val="single" w:color="D8D8D8" w:sz="4" w:space="0"/>
              <w:left w:val="single" w:color="D8D8D8" w:sz="8"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16" w:type="dxa"/>
            <w:vMerge w:val="continue"/>
            <w:tcBorders>
              <w:left w:val="single" w:color="D8D8D8" w:sz="8"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b/>
                <w:bCs/>
                <w:color w:val="000000"/>
                <w:kern w:val="0"/>
                <w:szCs w:val="21"/>
              </w:rPr>
            </w:pPr>
          </w:p>
        </w:tc>
        <w:tc>
          <w:tcPr>
            <w:tcW w:w="3482" w:type="dxa"/>
            <w:tcBorders>
              <w:top w:val="single" w:color="D8D8D8" w:sz="4" w:space="0"/>
              <w:left w:val="single" w:color="D8D8D8" w:sz="4"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开放型区域产教融合实践中心</w:t>
            </w:r>
          </w:p>
        </w:tc>
        <w:tc>
          <w:tcPr>
            <w:tcW w:w="1916" w:type="dxa"/>
            <w:tcBorders>
              <w:top w:val="single" w:color="D8D8D8" w:sz="4" w:space="0"/>
              <w:left w:val="single" w:color="D8D8D8" w:sz="4" w:space="0"/>
              <w:bottom w:val="single" w:color="D8D8D8" w:sz="4" w:space="0"/>
              <w:right w:val="single" w:color="D8D8D8" w:sz="8"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2</w:t>
            </w:r>
          </w:p>
        </w:tc>
        <w:tc>
          <w:tcPr>
            <w:tcW w:w="1508" w:type="dxa"/>
            <w:tcBorders>
              <w:top w:val="single" w:color="D8D8D8" w:sz="4" w:space="0"/>
              <w:left w:val="single" w:color="D8D8D8" w:sz="8"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16" w:type="dxa"/>
            <w:vMerge w:val="restart"/>
            <w:tcBorders>
              <w:top w:val="single" w:color="D8D8D8" w:sz="4" w:space="0"/>
              <w:left w:val="single" w:color="D8D8D8" w:sz="8"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教学改革项目成果</w:t>
            </w:r>
          </w:p>
        </w:tc>
        <w:tc>
          <w:tcPr>
            <w:tcW w:w="3482" w:type="dxa"/>
            <w:tcBorders>
              <w:top w:val="single" w:color="D8D8D8" w:sz="4" w:space="0"/>
              <w:left w:val="single" w:color="D8D8D8" w:sz="4"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教学创新与改革工作试点</w:t>
            </w:r>
          </w:p>
        </w:tc>
        <w:tc>
          <w:tcPr>
            <w:tcW w:w="1916" w:type="dxa"/>
            <w:tcBorders>
              <w:top w:val="single" w:color="D8D8D8" w:sz="4" w:space="0"/>
              <w:left w:val="single" w:color="D8D8D8" w:sz="4" w:space="0"/>
              <w:bottom w:val="single" w:color="D8D8D8" w:sz="4" w:space="0"/>
              <w:right w:val="single" w:color="D8D8D8" w:sz="8"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≥1</w:t>
            </w:r>
          </w:p>
        </w:tc>
        <w:tc>
          <w:tcPr>
            <w:tcW w:w="1508" w:type="dxa"/>
            <w:tcBorders>
              <w:top w:val="single" w:color="D8D8D8" w:sz="4" w:space="0"/>
              <w:left w:val="single" w:color="D8D8D8" w:sz="8"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16" w:type="dxa"/>
            <w:vMerge w:val="continue"/>
            <w:tcBorders>
              <w:top w:val="single" w:color="D8D8D8" w:sz="4" w:space="0"/>
              <w:left w:val="single" w:color="D8D8D8" w:sz="8"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b/>
                <w:bCs/>
                <w:color w:val="000000"/>
                <w:kern w:val="0"/>
                <w:szCs w:val="21"/>
              </w:rPr>
            </w:pPr>
          </w:p>
        </w:tc>
        <w:tc>
          <w:tcPr>
            <w:tcW w:w="3482" w:type="dxa"/>
            <w:tcBorders>
              <w:top w:val="single" w:color="D8D8D8" w:sz="4" w:space="0"/>
              <w:left w:val="single" w:color="D8D8D8" w:sz="4"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就业创业典型案例</w:t>
            </w:r>
          </w:p>
        </w:tc>
        <w:tc>
          <w:tcPr>
            <w:tcW w:w="1916" w:type="dxa"/>
            <w:tcBorders>
              <w:top w:val="single" w:color="D8D8D8" w:sz="4" w:space="0"/>
              <w:left w:val="single" w:color="D8D8D8" w:sz="4" w:space="0"/>
              <w:bottom w:val="single" w:color="D8D8D8" w:sz="4" w:space="0"/>
              <w:right w:val="single" w:color="D8D8D8" w:sz="8"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≥1</w:t>
            </w:r>
          </w:p>
        </w:tc>
        <w:tc>
          <w:tcPr>
            <w:tcW w:w="1508" w:type="dxa"/>
            <w:tcBorders>
              <w:top w:val="single" w:color="D8D8D8" w:sz="4" w:space="0"/>
              <w:left w:val="single" w:color="D8D8D8" w:sz="8"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16" w:type="dxa"/>
            <w:vMerge w:val="continue"/>
            <w:tcBorders>
              <w:top w:val="single" w:color="D8D8D8" w:sz="4" w:space="0"/>
              <w:left w:val="single" w:color="D8D8D8" w:sz="8"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b/>
                <w:bCs/>
                <w:color w:val="000000"/>
                <w:kern w:val="0"/>
                <w:szCs w:val="21"/>
              </w:rPr>
            </w:pPr>
          </w:p>
        </w:tc>
        <w:tc>
          <w:tcPr>
            <w:tcW w:w="3482" w:type="dxa"/>
            <w:tcBorders>
              <w:top w:val="single" w:color="D8D8D8" w:sz="4" w:space="0"/>
              <w:left w:val="single" w:color="D8D8D8" w:sz="4"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教育评价改革案例</w:t>
            </w:r>
          </w:p>
        </w:tc>
        <w:tc>
          <w:tcPr>
            <w:tcW w:w="1916" w:type="dxa"/>
            <w:tcBorders>
              <w:top w:val="single" w:color="D8D8D8" w:sz="4" w:space="0"/>
              <w:left w:val="single" w:color="D8D8D8" w:sz="4" w:space="0"/>
              <w:bottom w:val="single" w:color="D8D8D8" w:sz="4" w:space="0"/>
              <w:right w:val="single" w:color="D8D8D8" w:sz="8"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w:t>
            </w:r>
          </w:p>
        </w:tc>
        <w:tc>
          <w:tcPr>
            <w:tcW w:w="1508" w:type="dxa"/>
            <w:tcBorders>
              <w:top w:val="single" w:color="D8D8D8" w:sz="4" w:space="0"/>
              <w:left w:val="single" w:color="D8D8D8" w:sz="8"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16" w:type="dxa"/>
            <w:vMerge w:val="continue"/>
            <w:tcBorders>
              <w:top w:val="single" w:color="D8D8D8" w:sz="4" w:space="0"/>
              <w:left w:val="single" w:color="D8D8D8" w:sz="8"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b/>
                <w:bCs/>
                <w:color w:val="000000"/>
                <w:kern w:val="0"/>
                <w:szCs w:val="21"/>
              </w:rPr>
            </w:pPr>
          </w:p>
        </w:tc>
        <w:tc>
          <w:tcPr>
            <w:tcW w:w="3482" w:type="dxa"/>
            <w:tcBorders>
              <w:top w:val="single" w:color="D8D8D8" w:sz="4" w:space="0"/>
              <w:left w:val="single" w:color="D8D8D8" w:sz="4"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终身教育学分银行实践应用试点</w:t>
            </w:r>
          </w:p>
        </w:tc>
        <w:tc>
          <w:tcPr>
            <w:tcW w:w="1916" w:type="dxa"/>
            <w:tcBorders>
              <w:top w:val="single" w:color="D8D8D8" w:sz="4" w:space="0"/>
              <w:left w:val="single" w:color="D8D8D8" w:sz="4" w:space="0"/>
              <w:bottom w:val="single" w:color="D8D8D8" w:sz="4" w:space="0"/>
              <w:right w:val="single" w:color="D8D8D8" w:sz="8"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w:t>
            </w:r>
          </w:p>
        </w:tc>
        <w:tc>
          <w:tcPr>
            <w:tcW w:w="1508" w:type="dxa"/>
            <w:tcBorders>
              <w:top w:val="single" w:color="D8D8D8" w:sz="4" w:space="0"/>
              <w:left w:val="single" w:color="D8D8D8" w:sz="8"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16" w:type="dxa"/>
            <w:vMerge w:val="continue"/>
            <w:tcBorders>
              <w:top w:val="single" w:color="D8D8D8" w:sz="4" w:space="0"/>
              <w:left w:val="single" w:color="D8D8D8" w:sz="8"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b/>
                <w:bCs/>
                <w:color w:val="000000"/>
                <w:kern w:val="0"/>
                <w:szCs w:val="21"/>
              </w:rPr>
            </w:pPr>
          </w:p>
        </w:tc>
        <w:tc>
          <w:tcPr>
            <w:tcW w:w="3482" w:type="dxa"/>
            <w:tcBorders>
              <w:top w:val="single" w:color="D8D8D8" w:sz="4" w:space="0"/>
              <w:left w:val="single" w:color="D8D8D8" w:sz="4"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教学改革与研究实践项目</w:t>
            </w:r>
          </w:p>
        </w:tc>
        <w:tc>
          <w:tcPr>
            <w:tcW w:w="1916" w:type="dxa"/>
            <w:tcBorders>
              <w:top w:val="single" w:color="D8D8D8" w:sz="4" w:space="0"/>
              <w:left w:val="single" w:color="D8D8D8" w:sz="4" w:space="0"/>
              <w:bottom w:val="single" w:color="D8D8D8" w:sz="4" w:space="0"/>
              <w:right w:val="single" w:color="D8D8D8" w:sz="8"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≥10</w:t>
            </w:r>
          </w:p>
        </w:tc>
        <w:tc>
          <w:tcPr>
            <w:tcW w:w="1508" w:type="dxa"/>
            <w:tcBorders>
              <w:top w:val="single" w:color="D8D8D8" w:sz="4" w:space="0"/>
              <w:left w:val="single" w:color="D8D8D8" w:sz="8"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16" w:type="dxa"/>
            <w:vMerge w:val="restart"/>
            <w:tcBorders>
              <w:top w:val="single" w:color="D8D8D8" w:sz="4" w:space="0"/>
              <w:left w:val="single" w:color="D8D8D8" w:sz="8"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技能竞赛</w:t>
            </w:r>
          </w:p>
          <w:p>
            <w:pPr>
              <w:widowControl/>
              <w:topLinePunct/>
              <w:spacing w:line="560" w:lineRule="exact"/>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成果</w:t>
            </w:r>
          </w:p>
        </w:tc>
        <w:tc>
          <w:tcPr>
            <w:tcW w:w="3482" w:type="dxa"/>
            <w:tcBorders>
              <w:top w:val="single" w:color="D8D8D8" w:sz="4" w:space="0"/>
              <w:left w:val="single" w:color="D8D8D8" w:sz="4"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承办职业技能大赛</w:t>
            </w:r>
          </w:p>
        </w:tc>
        <w:tc>
          <w:tcPr>
            <w:tcW w:w="1916" w:type="dxa"/>
            <w:tcBorders>
              <w:top w:val="single" w:color="D8D8D8" w:sz="4" w:space="0"/>
              <w:left w:val="single" w:color="D8D8D8" w:sz="4" w:space="0"/>
              <w:bottom w:val="single" w:color="D8D8D8" w:sz="4" w:space="0"/>
              <w:right w:val="single" w:color="D8D8D8" w:sz="8"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≥1</w:t>
            </w:r>
          </w:p>
        </w:tc>
        <w:tc>
          <w:tcPr>
            <w:tcW w:w="1508" w:type="dxa"/>
            <w:tcBorders>
              <w:top w:val="single" w:color="D8D8D8" w:sz="4" w:space="0"/>
              <w:left w:val="single" w:color="D8D8D8" w:sz="8"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16" w:type="dxa"/>
            <w:vMerge w:val="continue"/>
            <w:tcBorders>
              <w:top w:val="single" w:color="D8D8D8" w:sz="4" w:space="0"/>
              <w:left w:val="single" w:color="D8D8D8" w:sz="8"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b/>
                <w:bCs/>
                <w:color w:val="000000"/>
                <w:kern w:val="0"/>
                <w:szCs w:val="21"/>
              </w:rPr>
            </w:pPr>
          </w:p>
        </w:tc>
        <w:tc>
          <w:tcPr>
            <w:tcW w:w="3482" w:type="dxa"/>
            <w:tcBorders>
              <w:top w:val="single" w:color="D8D8D8" w:sz="4" w:space="0"/>
              <w:left w:val="single" w:color="D8D8D8" w:sz="4"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教师教学能力比赛</w:t>
            </w:r>
          </w:p>
        </w:tc>
        <w:tc>
          <w:tcPr>
            <w:tcW w:w="1916" w:type="dxa"/>
            <w:tcBorders>
              <w:top w:val="single" w:color="D8D8D8" w:sz="4" w:space="0"/>
              <w:left w:val="single" w:color="D8D8D8" w:sz="4" w:space="0"/>
              <w:bottom w:val="single" w:color="D8D8D8" w:sz="4" w:space="0"/>
              <w:right w:val="single" w:color="D8D8D8" w:sz="8"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≥2</w:t>
            </w:r>
          </w:p>
        </w:tc>
        <w:tc>
          <w:tcPr>
            <w:tcW w:w="1508" w:type="dxa"/>
            <w:tcBorders>
              <w:top w:val="single" w:color="D8D8D8" w:sz="4" w:space="0"/>
              <w:left w:val="single" w:color="D8D8D8" w:sz="8"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16" w:type="dxa"/>
            <w:vMerge w:val="continue"/>
            <w:tcBorders>
              <w:top w:val="single" w:color="D8D8D8" w:sz="4" w:space="0"/>
              <w:left w:val="single" w:color="D8D8D8" w:sz="8"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b/>
                <w:bCs/>
                <w:color w:val="000000"/>
                <w:kern w:val="0"/>
                <w:szCs w:val="21"/>
              </w:rPr>
            </w:pPr>
          </w:p>
        </w:tc>
        <w:tc>
          <w:tcPr>
            <w:tcW w:w="3482" w:type="dxa"/>
            <w:tcBorders>
              <w:top w:val="single" w:color="D8D8D8" w:sz="4" w:space="0"/>
              <w:left w:val="single" w:color="D8D8D8" w:sz="4"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职业院校技能大赛</w:t>
            </w:r>
          </w:p>
        </w:tc>
        <w:tc>
          <w:tcPr>
            <w:tcW w:w="1916" w:type="dxa"/>
            <w:tcBorders>
              <w:top w:val="single" w:color="D8D8D8" w:sz="4" w:space="0"/>
              <w:left w:val="single" w:color="D8D8D8" w:sz="4" w:space="0"/>
              <w:bottom w:val="single" w:color="D8D8D8" w:sz="4" w:space="0"/>
              <w:right w:val="single" w:color="D8D8D8" w:sz="8"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≥4</w:t>
            </w:r>
          </w:p>
        </w:tc>
        <w:tc>
          <w:tcPr>
            <w:tcW w:w="1508" w:type="dxa"/>
            <w:tcBorders>
              <w:top w:val="single" w:color="D8D8D8" w:sz="4" w:space="0"/>
              <w:left w:val="single" w:color="D8D8D8" w:sz="8"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16" w:type="dxa"/>
            <w:vMerge w:val="continue"/>
            <w:tcBorders>
              <w:top w:val="single" w:color="D8D8D8" w:sz="4" w:space="0"/>
              <w:left w:val="single" w:color="D8D8D8" w:sz="8"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b/>
                <w:bCs/>
                <w:color w:val="000000"/>
                <w:kern w:val="0"/>
                <w:szCs w:val="21"/>
              </w:rPr>
            </w:pPr>
          </w:p>
        </w:tc>
        <w:tc>
          <w:tcPr>
            <w:tcW w:w="3482" w:type="dxa"/>
            <w:tcBorders>
              <w:top w:val="single" w:color="D8D8D8" w:sz="4" w:space="0"/>
              <w:left w:val="single" w:color="D8D8D8" w:sz="4" w:space="0"/>
              <w:bottom w:val="single" w:color="D8D8D8" w:sz="4" w:space="0"/>
              <w:right w:val="single" w:color="D8D8D8" w:sz="4" w:space="0"/>
            </w:tcBorders>
            <w:shd w:val="clear" w:color="auto" w:fill="FFFFFF"/>
            <w:vAlign w:val="center"/>
          </w:tcPr>
          <w:p>
            <w:pPr>
              <w:widowControl/>
              <w:topLinePunct/>
              <w:jc w:val="center"/>
              <w:rPr>
                <w:rFonts w:ascii="仿宋" w:hAnsi="仿宋" w:eastAsia="仿宋" w:cs="仿宋"/>
                <w:color w:val="000000"/>
                <w:kern w:val="0"/>
                <w:szCs w:val="21"/>
              </w:rPr>
            </w:pPr>
            <w:r>
              <w:rPr>
                <w:rFonts w:hint="eastAsia" w:ascii="仿宋" w:hAnsi="仿宋" w:eastAsia="仿宋" w:cs="仿宋"/>
                <w:color w:val="000000"/>
                <w:kern w:val="0"/>
                <w:szCs w:val="21"/>
              </w:rPr>
              <w:t>“挑战杯”全国大学生课外学术科技作品竞赛</w:t>
            </w:r>
          </w:p>
        </w:tc>
        <w:tc>
          <w:tcPr>
            <w:tcW w:w="1916" w:type="dxa"/>
            <w:tcBorders>
              <w:top w:val="single" w:color="D8D8D8" w:sz="4" w:space="0"/>
              <w:left w:val="single" w:color="D8D8D8" w:sz="4" w:space="0"/>
              <w:bottom w:val="single" w:color="D8D8D8" w:sz="4" w:space="0"/>
              <w:right w:val="single" w:color="D8D8D8" w:sz="8"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≥2</w:t>
            </w:r>
          </w:p>
        </w:tc>
        <w:tc>
          <w:tcPr>
            <w:tcW w:w="1508" w:type="dxa"/>
            <w:tcBorders>
              <w:top w:val="single" w:color="D8D8D8" w:sz="4" w:space="0"/>
              <w:left w:val="single" w:color="D8D8D8" w:sz="8"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16" w:type="dxa"/>
            <w:vMerge w:val="continue"/>
            <w:tcBorders>
              <w:top w:val="single" w:color="D8D8D8" w:sz="4" w:space="0"/>
              <w:left w:val="single" w:color="D8D8D8" w:sz="8"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b/>
                <w:bCs/>
                <w:color w:val="000000"/>
                <w:kern w:val="0"/>
                <w:szCs w:val="21"/>
              </w:rPr>
            </w:pPr>
          </w:p>
        </w:tc>
        <w:tc>
          <w:tcPr>
            <w:tcW w:w="3482" w:type="dxa"/>
            <w:tcBorders>
              <w:top w:val="single" w:color="D8D8D8" w:sz="4" w:space="0"/>
              <w:left w:val="single" w:color="D8D8D8" w:sz="4" w:space="0"/>
              <w:bottom w:val="single" w:color="D8D8D8" w:sz="4" w:space="0"/>
              <w:right w:val="single" w:color="D8D8D8" w:sz="4" w:space="0"/>
            </w:tcBorders>
            <w:shd w:val="clear" w:color="auto" w:fill="FFFFFF"/>
            <w:vAlign w:val="center"/>
          </w:tcPr>
          <w:p>
            <w:pPr>
              <w:widowControl/>
              <w:topLinePunct/>
              <w:jc w:val="center"/>
              <w:rPr>
                <w:rFonts w:ascii="仿宋" w:hAnsi="仿宋" w:eastAsia="仿宋" w:cs="仿宋"/>
                <w:color w:val="000000"/>
                <w:kern w:val="0"/>
                <w:szCs w:val="21"/>
              </w:rPr>
            </w:pPr>
            <w:r>
              <w:rPr>
                <w:rFonts w:hint="eastAsia" w:ascii="仿宋" w:hAnsi="仿宋" w:eastAsia="仿宋" w:cs="仿宋"/>
                <w:color w:val="000000"/>
                <w:kern w:val="0"/>
                <w:szCs w:val="21"/>
              </w:rPr>
              <w:t>中国“互联网+”大学生创新创业大赛</w:t>
            </w:r>
          </w:p>
        </w:tc>
        <w:tc>
          <w:tcPr>
            <w:tcW w:w="1916" w:type="dxa"/>
            <w:tcBorders>
              <w:top w:val="single" w:color="D8D8D8" w:sz="4" w:space="0"/>
              <w:left w:val="single" w:color="D8D8D8" w:sz="4" w:space="0"/>
              <w:bottom w:val="single" w:color="D8D8D8" w:sz="4" w:space="0"/>
              <w:right w:val="single" w:color="D8D8D8" w:sz="8"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≥2</w:t>
            </w:r>
          </w:p>
        </w:tc>
        <w:tc>
          <w:tcPr>
            <w:tcW w:w="1508" w:type="dxa"/>
            <w:tcBorders>
              <w:top w:val="single" w:color="D8D8D8" w:sz="4" w:space="0"/>
              <w:left w:val="single" w:color="D8D8D8" w:sz="8"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16" w:type="dxa"/>
            <w:vMerge w:val="continue"/>
            <w:tcBorders>
              <w:top w:val="single" w:color="D8D8D8" w:sz="4" w:space="0"/>
              <w:left w:val="single" w:color="D8D8D8" w:sz="8"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b/>
                <w:bCs/>
                <w:color w:val="000000"/>
                <w:kern w:val="0"/>
                <w:szCs w:val="21"/>
              </w:rPr>
            </w:pPr>
          </w:p>
        </w:tc>
        <w:tc>
          <w:tcPr>
            <w:tcW w:w="3482" w:type="dxa"/>
            <w:tcBorders>
              <w:top w:val="single" w:color="D8D8D8" w:sz="4" w:space="0"/>
              <w:left w:val="single" w:color="D8D8D8" w:sz="4"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中国大学生创业计划竞赛</w:t>
            </w:r>
          </w:p>
        </w:tc>
        <w:tc>
          <w:tcPr>
            <w:tcW w:w="1916" w:type="dxa"/>
            <w:tcBorders>
              <w:top w:val="single" w:color="D8D8D8" w:sz="4" w:space="0"/>
              <w:left w:val="single" w:color="D8D8D8" w:sz="4" w:space="0"/>
              <w:bottom w:val="single" w:color="D8D8D8" w:sz="4" w:space="0"/>
              <w:right w:val="single" w:color="D8D8D8" w:sz="8"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≥2</w:t>
            </w:r>
          </w:p>
        </w:tc>
        <w:tc>
          <w:tcPr>
            <w:tcW w:w="1508" w:type="dxa"/>
            <w:tcBorders>
              <w:top w:val="single" w:color="D8D8D8" w:sz="4" w:space="0"/>
              <w:left w:val="single" w:color="D8D8D8" w:sz="8"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16" w:type="dxa"/>
            <w:vMerge w:val="restart"/>
            <w:tcBorders>
              <w:top w:val="single" w:color="D8D8D8" w:sz="4" w:space="0"/>
              <w:left w:val="single" w:color="D8D8D8" w:sz="8"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技术创新及</w:t>
            </w:r>
          </w:p>
          <w:p>
            <w:pPr>
              <w:widowControl/>
              <w:topLinePunct/>
              <w:spacing w:line="560" w:lineRule="exact"/>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社会服务</w:t>
            </w:r>
          </w:p>
        </w:tc>
        <w:tc>
          <w:tcPr>
            <w:tcW w:w="3482" w:type="dxa"/>
            <w:tcBorders>
              <w:top w:val="single" w:color="D8D8D8" w:sz="4" w:space="0"/>
              <w:left w:val="single" w:color="D8D8D8" w:sz="4"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纵向/横向科研项目</w:t>
            </w:r>
          </w:p>
        </w:tc>
        <w:tc>
          <w:tcPr>
            <w:tcW w:w="1916" w:type="dxa"/>
            <w:tcBorders>
              <w:top w:val="single" w:color="D8D8D8" w:sz="4" w:space="0"/>
              <w:left w:val="single" w:color="D8D8D8" w:sz="4" w:space="0"/>
              <w:bottom w:val="single" w:color="D8D8D8" w:sz="4" w:space="0"/>
              <w:right w:val="single" w:color="D8D8D8" w:sz="8"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≥15</w:t>
            </w:r>
          </w:p>
        </w:tc>
        <w:tc>
          <w:tcPr>
            <w:tcW w:w="1508" w:type="dxa"/>
            <w:tcBorders>
              <w:top w:val="single" w:color="D8D8D8" w:sz="4" w:space="0"/>
              <w:left w:val="single" w:color="D8D8D8" w:sz="8"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16" w:type="dxa"/>
            <w:vMerge w:val="continue"/>
            <w:tcBorders>
              <w:top w:val="single" w:color="D8D8D8" w:sz="4" w:space="0"/>
              <w:left w:val="single" w:color="D8D8D8" w:sz="8"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b/>
                <w:bCs/>
                <w:color w:val="000000"/>
                <w:kern w:val="0"/>
                <w:szCs w:val="21"/>
              </w:rPr>
            </w:pPr>
          </w:p>
        </w:tc>
        <w:tc>
          <w:tcPr>
            <w:tcW w:w="3482" w:type="dxa"/>
            <w:tcBorders>
              <w:top w:val="single" w:color="D8D8D8" w:sz="4" w:space="0"/>
              <w:left w:val="single" w:color="D8D8D8" w:sz="4"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市厅级及以上科研平台</w:t>
            </w:r>
          </w:p>
        </w:tc>
        <w:tc>
          <w:tcPr>
            <w:tcW w:w="1916" w:type="dxa"/>
            <w:tcBorders>
              <w:top w:val="single" w:color="D8D8D8" w:sz="4" w:space="0"/>
              <w:left w:val="single" w:color="D8D8D8" w:sz="4" w:space="0"/>
              <w:bottom w:val="single" w:color="D8D8D8" w:sz="4" w:space="0"/>
              <w:right w:val="single" w:color="D8D8D8" w:sz="8"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≥10</w:t>
            </w:r>
          </w:p>
        </w:tc>
        <w:tc>
          <w:tcPr>
            <w:tcW w:w="1508" w:type="dxa"/>
            <w:tcBorders>
              <w:top w:val="single" w:color="D8D8D8" w:sz="4" w:space="0"/>
              <w:left w:val="single" w:color="D8D8D8" w:sz="8"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16" w:type="dxa"/>
            <w:vMerge w:val="continue"/>
            <w:tcBorders>
              <w:top w:val="single" w:color="D8D8D8" w:sz="4" w:space="0"/>
              <w:left w:val="single" w:color="D8D8D8" w:sz="8"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b/>
                <w:bCs/>
                <w:color w:val="000000"/>
                <w:kern w:val="0"/>
                <w:szCs w:val="21"/>
              </w:rPr>
            </w:pPr>
          </w:p>
        </w:tc>
        <w:tc>
          <w:tcPr>
            <w:tcW w:w="3482" w:type="dxa"/>
            <w:tcBorders>
              <w:top w:val="single" w:color="D8D8D8" w:sz="4" w:space="0"/>
              <w:left w:val="single" w:color="D8D8D8" w:sz="4"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专利授权数</w:t>
            </w:r>
          </w:p>
        </w:tc>
        <w:tc>
          <w:tcPr>
            <w:tcW w:w="1916" w:type="dxa"/>
            <w:tcBorders>
              <w:top w:val="single" w:color="D8D8D8" w:sz="4" w:space="0"/>
              <w:left w:val="single" w:color="D8D8D8" w:sz="4" w:space="0"/>
              <w:bottom w:val="single" w:color="D8D8D8" w:sz="4" w:space="0"/>
              <w:right w:val="single" w:color="D8D8D8" w:sz="8"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≥200</w:t>
            </w:r>
          </w:p>
        </w:tc>
        <w:tc>
          <w:tcPr>
            <w:tcW w:w="1508" w:type="dxa"/>
            <w:tcBorders>
              <w:top w:val="single" w:color="D8D8D8" w:sz="4" w:space="0"/>
              <w:left w:val="single" w:color="D8D8D8" w:sz="8"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16" w:type="dxa"/>
            <w:vMerge w:val="continue"/>
            <w:tcBorders>
              <w:top w:val="single" w:color="D8D8D8" w:sz="4" w:space="0"/>
              <w:left w:val="single" w:color="D8D8D8" w:sz="8"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b/>
                <w:bCs/>
                <w:color w:val="000000"/>
                <w:kern w:val="0"/>
                <w:szCs w:val="21"/>
              </w:rPr>
            </w:pPr>
          </w:p>
        </w:tc>
        <w:tc>
          <w:tcPr>
            <w:tcW w:w="3482" w:type="dxa"/>
            <w:tcBorders>
              <w:top w:val="single" w:color="D8D8D8" w:sz="4" w:space="0"/>
              <w:left w:val="single" w:color="D8D8D8" w:sz="4"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科研经费含投入与各类服务</w:t>
            </w:r>
          </w:p>
        </w:tc>
        <w:tc>
          <w:tcPr>
            <w:tcW w:w="1916" w:type="dxa"/>
            <w:tcBorders>
              <w:top w:val="single" w:color="D8D8D8" w:sz="4" w:space="0"/>
              <w:left w:val="single" w:color="D8D8D8" w:sz="4" w:space="0"/>
              <w:bottom w:val="single" w:color="D8D8D8" w:sz="4" w:space="0"/>
              <w:right w:val="single" w:color="D8D8D8" w:sz="8"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w:t>
            </w:r>
          </w:p>
        </w:tc>
        <w:tc>
          <w:tcPr>
            <w:tcW w:w="1508" w:type="dxa"/>
            <w:tcBorders>
              <w:top w:val="single" w:color="D8D8D8" w:sz="4" w:space="0"/>
              <w:left w:val="single" w:color="D8D8D8" w:sz="8"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≥5000万元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16" w:type="dxa"/>
            <w:vMerge w:val="continue"/>
            <w:tcBorders>
              <w:top w:val="single" w:color="D8D8D8" w:sz="4" w:space="0"/>
              <w:left w:val="single" w:color="D8D8D8" w:sz="8"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b/>
                <w:bCs/>
                <w:color w:val="000000"/>
                <w:kern w:val="0"/>
                <w:szCs w:val="21"/>
              </w:rPr>
            </w:pPr>
          </w:p>
        </w:tc>
        <w:tc>
          <w:tcPr>
            <w:tcW w:w="3482" w:type="dxa"/>
            <w:tcBorders>
              <w:top w:val="single" w:color="D8D8D8" w:sz="4" w:space="0"/>
              <w:left w:val="single" w:color="D8D8D8" w:sz="4"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制定职业教育标准</w:t>
            </w:r>
          </w:p>
        </w:tc>
        <w:tc>
          <w:tcPr>
            <w:tcW w:w="1916" w:type="dxa"/>
            <w:tcBorders>
              <w:top w:val="single" w:color="D8D8D8" w:sz="4" w:space="0"/>
              <w:left w:val="single" w:color="D8D8D8" w:sz="4" w:space="0"/>
              <w:bottom w:val="single" w:color="D8D8D8" w:sz="4" w:space="0"/>
              <w:right w:val="single" w:color="D8D8D8" w:sz="8"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≥2</w:t>
            </w:r>
          </w:p>
        </w:tc>
        <w:tc>
          <w:tcPr>
            <w:tcW w:w="1508" w:type="dxa"/>
            <w:tcBorders>
              <w:top w:val="single" w:color="D8D8D8" w:sz="4" w:space="0"/>
              <w:left w:val="single" w:color="D8D8D8" w:sz="8"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16" w:type="dxa"/>
            <w:vMerge w:val="continue"/>
            <w:tcBorders>
              <w:top w:val="single" w:color="D8D8D8" w:sz="4" w:space="0"/>
              <w:left w:val="single" w:color="D8D8D8" w:sz="8"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b/>
                <w:bCs/>
                <w:color w:val="000000"/>
                <w:kern w:val="0"/>
                <w:szCs w:val="21"/>
              </w:rPr>
            </w:pPr>
          </w:p>
        </w:tc>
        <w:tc>
          <w:tcPr>
            <w:tcW w:w="3482" w:type="dxa"/>
            <w:tcBorders>
              <w:top w:val="single" w:color="D8D8D8" w:sz="4" w:space="0"/>
              <w:left w:val="single" w:color="D8D8D8" w:sz="4"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各类培训服务人日数</w:t>
            </w:r>
          </w:p>
        </w:tc>
        <w:tc>
          <w:tcPr>
            <w:tcW w:w="1916" w:type="dxa"/>
            <w:tcBorders>
              <w:top w:val="single" w:color="D8D8D8" w:sz="4" w:space="0"/>
              <w:left w:val="single" w:color="D8D8D8" w:sz="4" w:space="0"/>
              <w:bottom w:val="single" w:color="D8D8D8" w:sz="4" w:space="0"/>
              <w:right w:val="single" w:color="D8D8D8" w:sz="8"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w:t>
            </w:r>
          </w:p>
        </w:tc>
        <w:tc>
          <w:tcPr>
            <w:tcW w:w="1508" w:type="dxa"/>
            <w:tcBorders>
              <w:top w:val="single" w:color="D8D8D8" w:sz="4" w:space="0"/>
              <w:left w:val="single" w:color="D8D8D8" w:sz="8"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≥5万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16" w:type="dxa"/>
            <w:tcBorders>
              <w:top w:val="single" w:color="D8D8D8" w:sz="4" w:space="0"/>
              <w:left w:val="single" w:color="D8D8D8" w:sz="8"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其他</w:t>
            </w:r>
          </w:p>
        </w:tc>
        <w:tc>
          <w:tcPr>
            <w:tcW w:w="3482" w:type="dxa"/>
            <w:tcBorders>
              <w:top w:val="single" w:color="D8D8D8" w:sz="4" w:space="0"/>
              <w:left w:val="single" w:color="D8D8D8" w:sz="4"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“5G”惠工建设</w:t>
            </w:r>
          </w:p>
        </w:tc>
        <w:tc>
          <w:tcPr>
            <w:tcW w:w="1916" w:type="dxa"/>
            <w:tcBorders>
              <w:top w:val="single" w:color="D8D8D8" w:sz="4" w:space="0"/>
              <w:left w:val="single" w:color="D8D8D8" w:sz="4" w:space="0"/>
              <w:bottom w:val="single" w:color="D8D8D8" w:sz="4" w:space="0"/>
              <w:right w:val="single" w:color="D8D8D8" w:sz="8"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w:t>
            </w:r>
          </w:p>
        </w:tc>
        <w:tc>
          <w:tcPr>
            <w:tcW w:w="1508" w:type="dxa"/>
            <w:tcBorders>
              <w:top w:val="single" w:color="D8D8D8" w:sz="4" w:space="0"/>
              <w:left w:val="single" w:color="D8D8D8" w:sz="8" w:space="0"/>
              <w:bottom w:val="single" w:color="D8D8D8" w:sz="4" w:space="0"/>
              <w:right w:val="single" w:color="D8D8D8" w:sz="4"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98" w:type="dxa"/>
            <w:gridSpan w:val="2"/>
            <w:tcBorders>
              <w:top w:val="single" w:color="D8D8D8" w:sz="4" w:space="0"/>
              <w:left w:val="single" w:color="D8D8D8" w:sz="8" w:space="0"/>
              <w:bottom w:val="single" w:color="D8D8D8" w:sz="8" w:space="0"/>
              <w:right w:val="single" w:color="D8D8D8" w:sz="4"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b/>
                <w:bCs/>
                <w:color w:val="000000"/>
                <w:kern w:val="0"/>
                <w:szCs w:val="21"/>
              </w:rPr>
              <w:t>合计（个数）</w:t>
            </w:r>
          </w:p>
        </w:tc>
        <w:tc>
          <w:tcPr>
            <w:tcW w:w="1916" w:type="dxa"/>
            <w:tcBorders>
              <w:top w:val="single" w:color="D8D8D8" w:sz="4" w:space="0"/>
              <w:left w:val="single" w:color="D8D8D8" w:sz="4" w:space="0"/>
              <w:bottom w:val="single" w:color="D8D8D8" w:sz="8" w:space="0"/>
              <w:right w:val="single" w:color="D8D8D8" w:sz="4"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≥270</w:t>
            </w:r>
          </w:p>
        </w:tc>
        <w:tc>
          <w:tcPr>
            <w:tcW w:w="1508" w:type="dxa"/>
            <w:tcBorders>
              <w:top w:val="single" w:color="D8D8D8" w:sz="4" w:space="0"/>
              <w:left w:val="single" w:color="D8D8D8" w:sz="4" w:space="0"/>
              <w:bottom w:val="single" w:color="D8D8D8" w:sz="8" w:space="0"/>
              <w:right w:val="single" w:color="D8D8D8" w:sz="8" w:space="0"/>
            </w:tcBorders>
            <w:shd w:val="clear" w:color="auto" w:fill="FFFFFF"/>
            <w:vAlign w:val="center"/>
          </w:tcPr>
          <w:p>
            <w:pPr>
              <w:widowControl/>
              <w:topLinePunct/>
              <w:spacing w:line="5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≥336</w:t>
            </w:r>
          </w:p>
        </w:tc>
      </w:tr>
    </w:tbl>
    <w:p>
      <w:pPr>
        <w:spacing w:line="540" w:lineRule="exact"/>
        <w:rPr>
          <w:rFonts w:ascii="仿宋" w:hAnsi="仿宋" w:eastAsia="仿宋"/>
          <w:sz w:val="28"/>
          <w:szCs w:val="28"/>
        </w:rPr>
      </w:pPr>
    </w:p>
    <w:p>
      <w:pPr>
        <w:pStyle w:val="2"/>
        <w:ind w:firstLine="643"/>
      </w:pPr>
      <w:bookmarkStart w:id="21" w:name="_Toc164347824"/>
      <w:r>
        <w:rPr>
          <w:rFonts w:hint="eastAsia"/>
        </w:rPr>
        <w:t>三、重点建设任务</w:t>
      </w:r>
      <w:bookmarkEnd w:id="21"/>
    </w:p>
    <w:p>
      <w:pPr>
        <w:pStyle w:val="3"/>
        <w:ind w:firstLine="643"/>
      </w:pPr>
      <w:bookmarkStart w:id="22" w:name="_Toc164347825"/>
      <w:r>
        <w:rPr>
          <w:rFonts w:hint="eastAsia"/>
        </w:rPr>
        <w:t>（一）高质量党建引领学校高质量发展项目</w:t>
      </w:r>
      <w:bookmarkEnd w:id="22"/>
    </w:p>
    <w:p>
      <w:pPr>
        <w:pStyle w:val="4"/>
      </w:pPr>
      <w:bookmarkStart w:id="23" w:name="_Toc164347826"/>
      <w:r>
        <w:rPr>
          <w:rFonts w:hint="eastAsia"/>
        </w:rPr>
        <w:t>1.党建示范创优项目</w:t>
      </w:r>
      <w:bookmarkEnd w:id="23"/>
    </w:p>
    <w:p>
      <w:pPr>
        <w:keepNext/>
        <w:keepLines/>
        <w:spacing w:line="540" w:lineRule="exact"/>
        <w:ind w:firstLine="562" w:firstLineChars="200"/>
        <w:outlineLvl w:val="3"/>
        <w:rPr>
          <w:rFonts w:ascii="Times New Roman" w:hAnsi="Times New Roman" w:eastAsia="仿宋"/>
          <w:b/>
          <w:sz w:val="28"/>
          <w:szCs w:val="28"/>
        </w:rPr>
      </w:pPr>
      <w:r>
        <w:rPr>
          <w:rFonts w:hint="eastAsia" w:ascii="Times New Roman" w:hAnsi="Times New Roman" w:eastAsia="仿宋"/>
          <w:b/>
          <w:sz w:val="28"/>
          <w:szCs w:val="28"/>
        </w:rPr>
        <w:t>（1）必要性和可行性</w:t>
      </w:r>
    </w:p>
    <w:p>
      <w:pPr>
        <w:spacing w:line="520" w:lineRule="exact"/>
        <w:ind w:firstLine="560" w:firstLineChars="200"/>
        <w:rPr>
          <w:rFonts w:ascii="Times New Roman" w:hAnsi="Times New Roman" w:eastAsia="仿宋" w:cs="Times New Roman"/>
          <w:bCs/>
          <w:sz w:val="28"/>
          <w:szCs w:val="28"/>
        </w:rPr>
      </w:pPr>
      <w:r>
        <w:rPr>
          <w:rFonts w:ascii="Times New Roman" w:hAnsi="Times New Roman" w:eastAsia="仿宋" w:cs="Times New Roman"/>
          <w:bCs/>
          <w:sz w:val="28"/>
          <w:szCs w:val="28"/>
        </w:rPr>
        <w:t>新时期党建工作作为高校实施协同育人的重要抓手和保障，对于发挥各级党组织党建工作战斗堡垒作用，以高质量党建工作引领学校人才培养的方向，以高质量党建为新时代高素质技术技能人才培养扬帆掌舵、指明方向有极为重要的意义。新时代高校党建示范创建和质量创优工作，是教育部贯彻落实习近平新时代中国特色社会主义思想的重要举措，是坚持和加强党对高校的全面领导、落实立德树人根本任务的重要抓手，是实现党建与业务深度融合的重要着力点，推动创建工作意义重大。</w:t>
      </w:r>
    </w:p>
    <w:p>
      <w:pPr>
        <w:spacing w:line="520" w:lineRule="exact"/>
        <w:ind w:firstLine="560"/>
        <w:rPr>
          <w:rFonts w:cs="Times New Roman"/>
          <w:b/>
          <w:bCs/>
          <w:sz w:val="28"/>
          <w:szCs w:val="28"/>
        </w:rPr>
      </w:pPr>
      <w:r>
        <w:rPr>
          <w:rFonts w:hint="eastAsia" w:ascii="Times New Roman" w:hAnsi="Times New Roman" w:eastAsia="仿宋" w:cs="Times New Roman"/>
          <w:bCs/>
          <w:sz w:val="28"/>
          <w:szCs w:val="28"/>
        </w:rPr>
        <w:t>2021年，</w:t>
      </w:r>
      <w:r>
        <w:rPr>
          <w:rFonts w:hint="eastAsia" w:ascii="Times New Roman" w:hAnsi="Times New Roman" w:eastAsia="仿宋" w:cs="Times New Roman"/>
          <w:sz w:val="28"/>
          <w:szCs w:val="28"/>
        </w:rPr>
        <w:t>中共中央印发《中国共产党普通高等学校基层组织工作条例》，对高校基层党组织工作作出全面规范，要求各级党委要切实履行全面从严治党主体责任，把高校党的建设摆在突出位置来抓，坚持和加强党对高校的全面领导，健全高校党的组织体系、制度体系和工作机制，推动高校党的建设与高等教育事业发展深度融合，以高质量的党建引领推动高校为党育人为国育才、实现高质量发展。</w:t>
      </w:r>
      <w:r>
        <w:rPr>
          <w:rFonts w:hint="eastAsia" w:ascii="Times New Roman" w:hAnsi="Times New Roman" w:eastAsia="仿宋" w:cs="Times New Roman"/>
          <w:bCs/>
          <w:sz w:val="28"/>
          <w:szCs w:val="28"/>
        </w:rPr>
        <w:t>2023年</w:t>
      </w:r>
      <w:r>
        <w:rPr>
          <w:rFonts w:ascii="Times New Roman" w:hAnsi="Times New Roman" w:eastAsia="仿宋" w:cs="Times New Roman"/>
          <w:bCs/>
          <w:sz w:val="28"/>
          <w:szCs w:val="28"/>
        </w:rPr>
        <w:t>，教育部为全面落实《中国共产党普通高等学校基层组织工作条例》，启动第</w:t>
      </w:r>
      <w:r>
        <w:rPr>
          <w:rFonts w:ascii="Times New Roman" w:hAnsi="Times New Roman" w:eastAsia="仿宋" w:cs="Times New Roman"/>
          <w:sz w:val="28"/>
          <w:szCs w:val="28"/>
        </w:rPr>
        <w:t>四批新时代高校党建示范创建和质量创优工作，为学校</w:t>
      </w:r>
      <w:r>
        <w:rPr>
          <w:rFonts w:hint="eastAsia" w:ascii="Times New Roman" w:hAnsi="Times New Roman" w:eastAsia="仿宋" w:cs="Times New Roman"/>
          <w:sz w:val="28"/>
          <w:szCs w:val="28"/>
        </w:rPr>
        <w:t>党建示范创优项目提供指引。</w:t>
      </w:r>
    </w:p>
    <w:p>
      <w:pPr>
        <w:keepNext/>
        <w:keepLines/>
        <w:spacing w:line="540" w:lineRule="exact"/>
        <w:ind w:firstLine="562" w:firstLineChars="200"/>
        <w:outlineLvl w:val="3"/>
        <w:rPr>
          <w:rFonts w:ascii="Times New Roman" w:hAnsi="Times New Roman" w:eastAsia="仿宋"/>
          <w:b/>
          <w:sz w:val="28"/>
          <w:szCs w:val="28"/>
        </w:rPr>
      </w:pPr>
      <w:r>
        <w:rPr>
          <w:rFonts w:hint="eastAsia" w:ascii="Times New Roman" w:hAnsi="Times New Roman" w:eastAsia="仿宋"/>
          <w:b/>
          <w:sz w:val="28"/>
          <w:szCs w:val="28"/>
        </w:rPr>
        <w:t>（2）拟解决的关键问题</w:t>
      </w:r>
    </w:p>
    <w:p>
      <w:pPr>
        <w:spacing w:line="520" w:lineRule="exact"/>
        <w:ind w:firstLine="560" w:firstLineChars="200"/>
        <w:rPr>
          <w:rFonts w:ascii="Times New Roman" w:hAnsi="Times New Roman" w:eastAsia="仿宋" w:cs="Times New Roman"/>
          <w:bCs/>
          <w:kern w:val="0"/>
          <w:sz w:val="28"/>
          <w:szCs w:val="28"/>
          <w:lang w:bidi="ar"/>
        </w:rPr>
      </w:pPr>
      <w:r>
        <w:rPr>
          <w:rFonts w:hint="eastAsia" w:ascii="Times New Roman" w:hAnsi="Times New Roman" w:eastAsia="仿宋" w:cs="Times New Roman"/>
          <w:bCs/>
          <w:kern w:val="0"/>
          <w:sz w:val="28"/>
          <w:szCs w:val="28"/>
          <w:lang w:bidi="ar"/>
        </w:rPr>
        <w:t>对照高校党建“双创”工作重点任务指南，理清工作思路、把好工作节奏、做好统筹安排，围绕学校中心工作落实创建任务，促进党建工作和中心工作深度融合，确保出成果、立标杆、可推广。要聚焦重点任务，突出特色亮点。注重结合自身特色、经验以及前期的工作基础，聚焦重点任务，进一步明确建设思路、工作目标和预期成果，形成一院一品牌、一支部一特色，起到以点带面的示范作用，形成辐射效应，注重提炼党建品牌的特色和亮点。</w:t>
      </w:r>
    </w:p>
    <w:p>
      <w:pPr>
        <w:keepNext/>
        <w:keepLines/>
        <w:spacing w:line="540" w:lineRule="exact"/>
        <w:ind w:firstLine="562" w:firstLineChars="200"/>
        <w:outlineLvl w:val="3"/>
        <w:rPr>
          <w:rFonts w:ascii="Times New Roman" w:hAnsi="Times New Roman" w:eastAsia="仿宋"/>
          <w:b/>
          <w:sz w:val="28"/>
          <w:szCs w:val="28"/>
        </w:rPr>
      </w:pPr>
      <w:r>
        <w:rPr>
          <w:rFonts w:hint="eastAsia" w:ascii="Times New Roman" w:hAnsi="Times New Roman" w:eastAsia="仿宋"/>
          <w:b/>
          <w:sz w:val="28"/>
          <w:szCs w:val="28"/>
        </w:rPr>
        <w:t>（3）建设目标</w:t>
      </w:r>
    </w:p>
    <w:p>
      <w:pPr>
        <w:widowControl/>
        <w:spacing w:line="520" w:lineRule="exact"/>
        <w:ind w:firstLine="560" w:firstLineChars="200"/>
        <w:rPr>
          <w:rFonts w:ascii="Times New Roman" w:hAnsi="Times New Roman" w:eastAsia="仿宋" w:cs="Times New Roman"/>
          <w:bCs/>
          <w:sz w:val="28"/>
          <w:szCs w:val="28"/>
        </w:rPr>
      </w:pPr>
      <w:r>
        <w:rPr>
          <w:rFonts w:hint="eastAsia" w:ascii="Times New Roman" w:hAnsi="Times New Roman" w:eastAsia="仿宋" w:cs="Times New Roman"/>
          <w:bCs/>
          <w:sz w:val="28"/>
          <w:szCs w:val="28"/>
        </w:rPr>
        <w:t>坚持以习近平新时代中国特色社会主义思想为指导，全面贯彻落实党的二十大精神，深入贯彻习近平总书记对广东系列重要讲话和重要指示精神，加强党对教育工作的全面领导，深入落实新时代党的建设总要求和新时代党的组织路线，坚持培育为基、重在建设、典型引领、整体推进，以政治建设为统领，以质量攻坚为动力，以提升组织力为重点，以推动事业发展为落脚点，严格对标看齐，勇于改革创新，努力争创先进，为学校教育事业发展提供坚强的组织保障。</w:t>
      </w:r>
    </w:p>
    <w:p>
      <w:pPr>
        <w:keepNext/>
        <w:keepLines/>
        <w:spacing w:line="540" w:lineRule="exact"/>
        <w:ind w:firstLine="562" w:firstLineChars="200"/>
        <w:outlineLvl w:val="3"/>
        <w:rPr>
          <w:rFonts w:ascii="Times New Roman" w:hAnsi="Times New Roman" w:eastAsia="仿宋"/>
          <w:b/>
          <w:sz w:val="28"/>
          <w:szCs w:val="28"/>
        </w:rPr>
      </w:pPr>
      <w:r>
        <w:rPr>
          <w:rFonts w:hint="eastAsia" w:ascii="Times New Roman" w:hAnsi="Times New Roman" w:eastAsia="仿宋"/>
          <w:b/>
          <w:sz w:val="28"/>
          <w:szCs w:val="28"/>
        </w:rPr>
        <w:t>（4）重点建设任务</w:t>
      </w:r>
    </w:p>
    <w:p>
      <w:pPr>
        <w:widowControl/>
        <w:spacing w:line="520" w:lineRule="exact"/>
        <w:ind w:firstLine="560" w:firstLineChars="200"/>
        <w:jc w:val="left"/>
        <w:rPr>
          <w:rFonts w:ascii="Times New Roman" w:hAnsi="Times New Roman" w:eastAsia="仿宋" w:cs="Times New Roman"/>
          <w:bCs/>
          <w:sz w:val="28"/>
          <w:szCs w:val="28"/>
        </w:rPr>
      </w:pPr>
      <w:r>
        <w:rPr>
          <w:rFonts w:hint="eastAsia" w:ascii="Times New Roman" w:hAnsi="Times New Roman" w:eastAsia="仿宋" w:cs="Times New Roman"/>
          <w:bCs/>
          <w:sz w:val="28"/>
          <w:szCs w:val="28"/>
        </w:rPr>
        <w:t>根据中组部和教育部党组有关基层党建文件精神，紧紧围绕学校办学定位和人才培养目标，在全校范围内开展新时代党建示范和质量创优工作，实施“123”工程，把学校创建为1所“党建工作示范高校”、在全校培育创建2个党建工作标杆院系，3个党建工作样板支部，“双带头人”教师党支部工作室2个，5个以上党建创新工作案例，以点带面发挥引领带动作用，推动党的建设与学校事业发展深度融合，使学校各级党组织全面进步、全面过硬，推动学校党建质量全面创优全面提升。</w:t>
      </w:r>
    </w:p>
    <w:p>
      <w:pPr>
        <w:keepNext/>
        <w:keepLines/>
        <w:numPr>
          <w:ilvl w:val="0"/>
          <w:numId w:val="1"/>
        </w:numPr>
        <w:spacing w:line="540" w:lineRule="exact"/>
        <w:ind w:firstLine="562" w:firstLineChars="200"/>
        <w:outlineLvl w:val="3"/>
        <w:rPr>
          <w:rFonts w:ascii="Times New Roman" w:hAnsi="Times New Roman" w:eastAsia="仿宋"/>
          <w:b/>
          <w:sz w:val="28"/>
          <w:szCs w:val="28"/>
        </w:rPr>
      </w:pPr>
      <w:r>
        <w:rPr>
          <w:rFonts w:hint="eastAsia" w:ascii="Times New Roman" w:hAnsi="Times New Roman" w:eastAsia="仿宋"/>
          <w:b/>
          <w:sz w:val="28"/>
          <w:szCs w:val="28"/>
        </w:rPr>
        <w:t>建设计划</w:t>
      </w:r>
    </w:p>
    <w:p>
      <w:pPr>
        <w:spacing w:line="520" w:lineRule="exact"/>
        <w:ind w:firstLine="560" w:firstLineChars="200"/>
      </w:pPr>
      <w:r>
        <w:rPr>
          <w:rFonts w:hint="eastAsia" w:ascii="Times New Roman" w:hAnsi="Times New Roman" w:eastAsia="仿宋" w:cs="Times New Roman"/>
          <w:bCs/>
          <w:sz w:val="28"/>
          <w:szCs w:val="28"/>
        </w:rPr>
        <w:t>全校党建工作标杆院系、样板支部培育创建、“双带头人”教师党支部书记工作室等工作在学校党委领导下，由党委组织部具体负责组织实施，按照申报认定、创建达标、中期评估、验收巩固四个步骤开展。</w:t>
      </w:r>
    </w:p>
    <w:tbl>
      <w:tblPr>
        <w:tblStyle w:val="17"/>
        <w:tblpPr w:leftFromText="180" w:rightFromText="180" w:vertAnchor="text" w:horzAnchor="page" w:tblpX="1922" w:tblpY="166"/>
        <w:tblOverlap w:val="never"/>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09"/>
        <w:gridCol w:w="5961"/>
        <w:gridCol w:w="1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675" w:type="dxa"/>
            <w:shd w:val="clear" w:color="auto" w:fill="4874CB"/>
            <w:vAlign w:val="center"/>
          </w:tcPr>
          <w:p>
            <w:pPr>
              <w:jc w:val="center"/>
              <w:rPr>
                <w:rFonts w:ascii="仿宋" w:hAnsi="仿宋" w:eastAsia="仿宋" w:cs="仿宋"/>
                <w:b/>
                <w:bCs/>
                <w:szCs w:val="21"/>
              </w:rPr>
            </w:pPr>
            <w:r>
              <w:rPr>
                <w:rFonts w:hint="eastAsia" w:ascii="仿宋" w:hAnsi="仿宋" w:eastAsia="仿宋" w:cs="仿宋"/>
                <w:b/>
                <w:bCs/>
                <w:szCs w:val="21"/>
              </w:rPr>
              <w:t>年度</w:t>
            </w:r>
          </w:p>
        </w:tc>
        <w:tc>
          <w:tcPr>
            <w:tcW w:w="709" w:type="dxa"/>
            <w:shd w:val="clear" w:color="auto" w:fill="4874CB"/>
            <w:vAlign w:val="center"/>
          </w:tcPr>
          <w:p>
            <w:pPr>
              <w:jc w:val="center"/>
              <w:rPr>
                <w:rFonts w:ascii="仿宋" w:hAnsi="仿宋" w:eastAsia="仿宋" w:cs="仿宋"/>
                <w:b/>
                <w:bCs/>
                <w:szCs w:val="21"/>
              </w:rPr>
            </w:pPr>
            <w:r>
              <w:rPr>
                <w:rFonts w:hint="eastAsia" w:ascii="仿宋" w:hAnsi="仿宋" w:eastAsia="仿宋" w:cs="仿宋"/>
                <w:b/>
                <w:bCs/>
                <w:szCs w:val="21"/>
              </w:rPr>
              <w:t>建设任务</w:t>
            </w:r>
          </w:p>
        </w:tc>
        <w:tc>
          <w:tcPr>
            <w:tcW w:w="5961" w:type="dxa"/>
            <w:shd w:val="clear" w:color="auto" w:fill="4874CB"/>
            <w:vAlign w:val="center"/>
          </w:tcPr>
          <w:p>
            <w:pPr>
              <w:jc w:val="center"/>
              <w:rPr>
                <w:rFonts w:ascii="仿宋" w:hAnsi="仿宋" w:eastAsia="仿宋" w:cs="仿宋"/>
                <w:b/>
                <w:bCs/>
                <w:szCs w:val="21"/>
              </w:rPr>
            </w:pPr>
            <w:r>
              <w:rPr>
                <w:rFonts w:hint="eastAsia" w:ascii="仿宋" w:hAnsi="仿宋" w:eastAsia="仿宋" w:cs="仿宋"/>
                <w:b/>
                <w:bCs/>
                <w:szCs w:val="21"/>
              </w:rPr>
              <w:t>建设内容</w:t>
            </w:r>
          </w:p>
        </w:tc>
        <w:tc>
          <w:tcPr>
            <w:tcW w:w="1410" w:type="dxa"/>
            <w:shd w:val="clear" w:color="auto" w:fill="4874CB"/>
            <w:vAlign w:val="center"/>
          </w:tcPr>
          <w:p>
            <w:pPr>
              <w:jc w:val="center"/>
              <w:rPr>
                <w:rFonts w:ascii="仿宋" w:hAnsi="仿宋" w:eastAsia="仿宋" w:cs="仿宋"/>
                <w:b/>
                <w:bCs/>
                <w:szCs w:val="21"/>
              </w:rPr>
            </w:pPr>
            <w:r>
              <w:rPr>
                <w:rFonts w:hint="eastAsia" w:ascii="仿宋" w:hAnsi="仿宋" w:eastAsia="仿宋" w:cs="仿宋"/>
                <w:b/>
                <w:bCs/>
                <w:szCs w:val="21"/>
              </w:rPr>
              <w:t>负责部门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5" w:hRule="atLeast"/>
        </w:trPr>
        <w:tc>
          <w:tcPr>
            <w:tcW w:w="675" w:type="dxa"/>
            <w:vMerge w:val="restart"/>
            <w:vAlign w:val="center"/>
          </w:tcPr>
          <w:p>
            <w:pPr>
              <w:jc w:val="center"/>
              <w:rPr>
                <w:rFonts w:ascii="仿宋" w:hAnsi="仿宋" w:eastAsia="仿宋" w:cs="仿宋"/>
                <w:bCs/>
                <w:szCs w:val="21"/>
              </w:rPr>
            </w:pPr>
            <w:r>
              <w:rPr>
                <w:rFonts w:hint="eastAsia" w:ascii="仿宋" w:hAnsi="仿宋" w:eastAsia="仿宋" w:cs="仿宋"/>
                <w:b/>
                <w:bCs w:val="0"/>
                <w:szCs w:val="21"/>
              </w:rPr>
              <w:t>2023年</w:t>
            </w:r>
          </w:p>
        </w:tc>
        <w:tc>
          <w:tcPr>
            <w:tcW w:w="709" w:type="dxa"/>
            <w:vMerge w:val="restart"/>
            <w:vAlign w:val="center"/>
          </w:tcPr>
          <w:p>
            <w:pPr>
              <w:jc w:val="center"/>
              <w:rPr>
                <w:rFonts w:ascii="仿宋" w:hAnsi="仿宋" w:eastAsia="仿宋" w:cs="仿宋"/>
                <w:bCs/>
                <w:szCs w:val="21"/>
              </w:rPr>
            </w:pPr>
            <w:r>
              <w:rPr>
                <w:rFonts w:ascii="仿宋" w:hAnsi="仿宋" w:eastAsia="仿宋" w:cs="仿宋"/>
                <w:bCs/>
                <w:szCs w:val="21"/>
              </w:rPr>
              <w:t>校级项目培育</w:t>
            </w:r>
          </w:p>
          <w:p>
            <w:pPr>
              <w:rPr>
                <w:rFonts w:ascii="仿宋" w:hAnsi="仿宋" w:eastAsia="仿宋" w:cs="仿宋"/>
                <w:bCs/>
                <w:szCs w:val="21"/>
              </w:rPr>
            </w:pPr>
          </w:p>
        </w:tc>
        <w:tc>
          <w:tcPr>
            <w:tcW w:w="5961" w:type="dxa"/>
          </w:tcPr>
          <w:p>
            <w:pPr>
              <w:ind w:firstLine="420" w:firstLineChars="200"/>
              <w:rPr>
                <w:rFonts w:ascii="仿宋" w:hAnsi="仿宋" w:eastAsia="仿宋" w:cs="仿宋"/>
                <w:bCs/>
                <w:szCs w:val="21"/>
              </w:rPr>
            </w:pPr>
            <w:r>
              <w:rPr>
                <w:rFonts w:hint="eastAsia" w:ascii="仿宋" w:hAnsi="仿宋" w:eastAsia="仿宋" w:cs="仿宋"/>
                <w:bCs/>
                <w:szCs w:val="21"/>
              </w:rPr>
              <w:t>党委组织部对党建工作基础、成功做法、特色经验等进行梳理和总结，制定《惠州工程职业学院新时代党建“双创”工作实施方案》，明确重点任务指南，统筹谋划 3年建设周期和各年度工作目标、实施计划、预期成果，编制经费预算。组织开展校级“党建工作标杆院系”“党建工作样板支部</w:t>
            </w:r>
            <w:r>
              <w:rPr>
                <w:rFonts w:hint="eastAsia" w:ascii="仿宋" w:hAnsi="仿宋" w:eastAsia="仿宋" w:cs="仿宋"/>
                <w:bCs/>
                <w:szCs w:val="21"/>
                <w:lang w:eastAsia="zh-CN"/>
              </w:rPr>
              <w:t>”“</w:t>
            </w:r>
            <w:r>
              <w:rPr>
                <w:rFonts w:hint="eastAsia" w:ascii="仿宋" w:hAnsi="仿宋" w:eastAsia="仿宋" w:cs="仿宋"/>
                <w:bCs/>
                <w:szCs w:val="21"/>
              </w:rPr>
              <w:t>双带头人”教师党支部书记工作室</w:t>
            </w:r>
            <w:r>
              <w:rPr>
                <w:rFonts w:hint="eastAsia" w:ascii="仿宋" w:hAnsi="仿宋" w:eastAsia="仿宋" w:cs="仿宋"/>
                <w:bCs/>
                <w:szCs w:val="21"/>
                <w:lang w:eastAsia="zh-CN"/>
              </w:rPr>
              <w:t>申报</w:t>
            </w:r>
            <w:r>
              <w:rPr>
                <w:rFonts w:hint="eastAsia" w:ascii="仿宋" w:hAnsi="仿宋" w:eastAsia="仿宋" w:cs="仿宋"/>
                <w:bCs/>
                <w:szCs w:val="21"/>
              </w:rPr>
              <w:t>遴选工作。</w:t>
            </w:r>
          </w:p>
        </w:tc>
        <w:tc>
          <w:tcPr>
            <w:tcW w:w="1410" w:type="dxa"/>
            <w:vMerge w:val="restart"/>
            <w:vAlign w:val="center"/>
          </w:tcPr>
          <w:p>
            <w:pPr>
              <w:jc w:val="center"/>
              <w:rPr>
                <w:rFonts w:ascii="仿宋" w:hAnsi="仿宋" w:eastAsia="仿宋" w:cs="仿宋"/>
                <w:bCs/>
                <w:szCs w:val="21"/>
              </w:rPr>
            </w:pPr>
            <w:r>
              <w:rPr>
                <w:rFonts w:hint="eastAsia" w:ascii="仿宋" w:hAnsi="仿宋" w:eastAsia="仿宋" w:cs="仿宋"/>
                <w:bCs/>
                <w:szCs w:val="21"/>
              </w:rPr>
              <w:t>党委组织部，各二级学院党总支、直属党支部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tcPr>
          <w:p>
            <w:pPr>
              <w:rPr>
                <w:rFonts w:ascii="仿宋" w:hAnsi="仿宋" w:eastAsia="仿宋" w:cs="仿宋"/>
                <w:bCs/>
                <w:szCs w:val="21"/>
              </w:rPr>
            </w:pPr>
          </w:p>
        </w:tc>
        <w:tc>
          <w:tcPr>
            <w:tcW w:w="709" w:type="dxa"/>
            <w:vMerge w:val="continue"/>
          </w:tcPr>
          <w:p>
            <w:pPr>
              <w:rPr>
                <w:rFonts w:ascii="仿宋" w:hAnsi="仿宋" w:eastAsia="仿宋" w:cs="仿宋"/>
                <w:bCs/>
                <w:szCs w:val="21"/>
              </w:rPr>
            </w:pPr>
          </w:p>
        </w:tc>
        <w:tc>
          <w:tcPr>
            <w:tcW w:w="5961" w:type="dxa"/>
          </w:tcPr>
          <w:p>
            <w:pPr>
              <w:ind w:firstLine="420" w:firstLineChars="200"/>
              <w:rPr>
                <w:rFonts w:ascii="仿宋" w:hAnsi="仿宋" w:eastAsia="仿宋" w:cs="仿宋"/>
                <w:bCs/>
                <w:szCs w:val="21"/>
              </w:rPr>
            </w:pPr>
            <w:r>
              <w:rPr>
                <w:rFonts w:hint="eastAsia" w:ascii="仿宋" w:hAnsi="仿宋" w:eastAsia="仿宋" w:cs="仿宋"/>
                <w:bCs/>
                <w:szCs w:val="21"/>
              </w:rPr>
              <w:t>党委组织部组织相关专家对申报材料进行初审和评议，报学校党委审议确定入选名单，并对入选的“党建工作标杆院系” “党建工作样板支部</w:t>
            </w:r>
            <w:r>
              <w:rPr>
                <w:rFonts w:hint="eastAsia" w:ascii="仿宋" w:hAnsi="仿宋" w:eastAsia="仿宋" w:cs="仿宋"/>
                <w:bCs/>
                <w:szCs w:val="21"/>
                <w:lang w:eastAsia="zh-CN"/>
              </w:rPr>
              <w:t>”“</w:t>
            </w:r>
            <w:r>
              <w:rPr>
                <w:rFonts w:hint="eastAsia" w:ascii="仿宋" w:hAnsi="仿宋" w:eastAsia="仿宋" w:cs="仿宋"/>
                <w:bCs/>
                <w:szCs w:val="21"/>
              </w:rPr>
              <w:t>双带头人”教师党支部工作室每年提供一定建设经费，建设经费应严格管理、专款专用。</w:t>
            </w:r>
          </w:p>
        </w:tc>
        <w:tc>
          <w:tcPr>
            <w:tcW w:w="1410" w:type="dxa"/>
            <w:vMerge w:val="continue"/>
            <w:vAlign w:val="center"/>
          </w:tcPr>
          <w:p>
            <w:pPr>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trPr>
        <w:tc>
          <w:tcPr>
            <w:tcW w:w="675" w:type="dxa"/>
            <w:vMerge w:val="continue"/>
          </w:tcPr>
          <w:p>
            <w:pPr>
              <w:rPr>
                <w:rFonts w:ascii="仿宋" w:hAnsi="仿宋" w:eastAsia="仿宋" w:cs="仿宋"/>
                <w:bCs/>
                <w:szCs w:val="21"/>
              </w:rPr>
            </w:pPr>
          </w:p>
        </w:tc>
        <w:tc>
          <w:tcPr>
            <w:tcW w:w="709" w:type="dxa"/>
            <w:vMerge w:val="continue"/>
          </w:tcPr>
          <w:p>
            <w:pPr>
              <w:rPr>
                <w:rFonts w:ascii="仿宋" w:hAnsi="仿宋" w:eastAsia="仿宋" w:cs="仿宋"/>
                <w:bCs/>
                <w:szCs w:val="21"/>
              </w:rPr>
            </w:pPr>
          </w:p>
        </w:tc>
        <w:tc>
          <w:tcPr>
            <w:tcW w:w="5961" w:type="dxa"/>
          </w:tcPr>
          <w:p>
            <w:pPr>
              <w:ind w:firstLine="420" w:firstLineChars="200"/>
              <w:rPr>
                <w:rFonts w:ascii="仿宋" w:hAnsi="仿宋" w:eastAsia="仿宋" w:cs="仿宋"/>
                <w:bCs/>
                <w:szCs w:val="21"/>
              </w:rPr>
            </w:pPr>
            <w:r>
              <w:rPr>
                <w:rFonts w:hint="eastAsia" w:ascii="仿宋" w:hAnsi="仿宋" w:eastAsia="仿宋" w:cs="仿宋"/>
                <w:bCs/>
                <w:szCs w:val="21"/>
              </w:rPr>
              <w:t>学校党委将择优推荐部分项目申报省委教育工委第五批新时代高校党建示范创建和质量创优工作项目</w:t>
            </w:r>
          </w:p>
        </w:tc>
        <w:tc>
          <w:tcPr>
            <w:tcW w:w="1410" w:type="dxa"/>
            <w:vMerge w:val="continue"/>
            <w:vAlign w:val="center"/>
          </w:tcPr>
          <w:p>
            <w:pPr>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9" w:hRule="atLeast"/>
        </w:trPr>
        <w:tc>
          <w:tcPr>
            <w:tcW w:w="675" w:type="dxa"/>
            <w:vAlign w:val="center"/>
          </w:tcPr>
          <w:p>
            <w:pPr>
              <w:jc w:val="center"/>
              <w:rPr>
                <w:rFonts w:ascii="仿宋" w:hAnsi="仿宋" w:eastAsia="仿宋" w:cs="仿宋"/>
                <w:bCs/>
                <w:szCs w:val="21"/>
              </w:rPr>
            </w:pPr>
            <w:r>
              <w:rPr>
                <w:rFonts w:hint="eastAsia" w:ascii="仿宋" w:hAnsi="仿宋" w:eastAsia="仿宋" w:cs="仿宋"/>
                <w:bCs/>
                <w:szCs w:val="21"/>
              </w:rPr>
              <w:t>2024—2025年</w:t>
            </w:r>
          </w:p>
        </w:tc>
        <w:tc>
          <w:tcPr>
            <w:tcW w:w="709" w:type="dxa"/>
            <w:vAlign w:val="center"/>
          </w:tcPr>
          <w:p>
            <w:pPr>
              <w:rPr>
                <w:rFonts w:ascii="仿宋" w:hAnsi="仿宋" w:eastAsia="仿宋" w:cs="仿宋"/>
                <w:bCs/>
                <w:szCs w:val="21"/>
              </w:rPr>
            </w:pPr>
            <w:r>
              <w:rPr>
                <w:rFonts w:hint="eastAsia" w:ascii="仿宋" w:hAnsi="仿宋" w:eastAsia="仿宋" w:cs="仿宋"/>
                <w:bCs/>
                <w:szCs w:val="21"/>
              </w:rPr>
              <w:t>创建达标（2024 年 6 月—2025 年 6 月）</w:t>
            </w:r>
          </w:p>
        </w:tc>
        <w:tc>
          <w:tcPr>
            <w:tcW w:w="5961" w:type="dxa"/>
          </w:tcPr>
          <w:p>
            <w:pPr>
              <w:ind w:firstLine="420" w:firstLineChars="200"/>
              <w:rPr>
                <w:rFonts w:ascii="仿宋" w:hAnsi="仿宋" w:eastAsia="仿宋" w:cs="仿宋"/>
                <w:bCs/>
                <w:szCs w:val="21"/>
              </w:rPr>
            </w:pPr>
            <w:r>
              <w:rPr>
                <w:rFonts w:hint="eastAsia" w:ascii="仿宋" w:hAnsi="仿宋" w:eastAsia="仿宋" w:cs="仿宋"/>
                <w:bCs/>
                <w:szCs w:val="21"/>
              </w:rPr>
              <w:t>各建设单位按照《中共教育部党组关于高校党组织“对标争先”建设计划的实施意见》、</w:t>
            </w:r>
            <w:r>
              <w:rPr>
                <w:rFonts w:ascii="仿宋" w:hAnsi="仿宋" w:eastAsia="仿宋" w:cs="仿宋"/>
                <w:bCs/>
                <w:szCs w:val="21"/>
              </w:rPr>
              <w:t>第四批新时代高校党建“双创”工作指导意见和</w:t>
            </w:r>
            <w:r>
              <w:rPr>
                <w:rFonts w:hint="eastAsia" w:ascii="仿宋" w:hAnsi="仿宋" w:eastAsia="仿宋" w:cs="仿宋"/>
                <w:bCs/>
                <w:szCs w:val="21"/>
              </w:rPr>
              <w:t>《惠州工程职业学院党建“双创”工作实施方案》要求，坚持软件建设和硬件建设相结合、统筹规划和分步实施相结合、整体提升和品牌塑造相结合，按计划、分步骤开展创建工作。成果形式包括但不限于：1.构建成熟有效的党建工作制度体系、机制办法；2.形成5个基层党建创新案例；3.高水平研究论文、专著；4.经验推广示范、辐射带动成效等。</w:t>
            </w:r>
          </w:p>
        </w:tc>
        <w:tc>
          <w:tcPr>
            <w:tcW w:w="1410" w:type="dxa"/>
            <w:vAlign w:val="center"/>
          </w:tcPr>
          <w:p>
            <w:pPr>
              <w:jc w:val="center"/>
              <w:rPr>
                <w:rFonts w:ascii="仿宋" w:hAnsi="仿宋" w:eastAsia="仿宋" w:cs="仿宋"/>
                <w:bCs/>
                <w:szCs w:val="21"/>
              </w:rPr>
            </w:pPr>
            <w:r>
              <w:rPr>
                <w:rFonts w:hint="eastAsia" w:ascii="仿宋" w:hAnsi="仿宋" w:eastAsia="仿宋" w:cs="仿宋"/>
                <w:bCs/>
                <w:szCs w:val="21"/>
              </w:rPr>
              <w:t>党委组织部，各二级学院党总支、直属党支部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9" w:hRule="atLeast"/>
        </w:trPr>
        <w:tc>
          <w:tcPr>
            <w:tcW w:w="675" w:type="dxa"/>
            <w:vAlign w:val="center"/>
          </w:tcPr>
          <w:p>
            <w:pPr>
              <w:jc w:val="center"/>
              <w:rPr>
                <w:rFonts w:ascii="仿宋" w:hAnsi="仿宋" w:eastAsia="仿宋" w:cs="仿宋"/>
                <w:bCs/>
                <w:szCs w:val="21"/>
              </w:rPr>
            </w:pPr>
            <w:r>
              <w:rPr>
                <w:rFonts w:hint="eastAsia" w:ascii="仿宋" w:hAnsi="仿宋" w:eastAsia="仿宋" w:cs="仿宋"/>
                <w:bCs/>
                <w:szCs w:val="21"/>
              </w:rPr>
              <w:t>2025年5月</w:t>
            </w:r>
          </w:p>
        </w:tc>
        <w:tc>
          <w:tcPr>
            <w:tcW w:w="709" w:type="dxa"/>
            <w:vAlign w:val="center"/>
          </w:tcPr>
          <w:p>
            <w:pPr>
              <w:rPr>
                <w:rFonts w:ascii="仿宋" w:hAnsi="仿宋" w:eastAsia="仿宋" w:cs="仿宋"/>
                <w:bCs/>
                <w:szCs w:val="21"/>
              </w:rPr>
            </w:pPr>
            <w:r>
              <w:rPr>
                <w:rFonts w:hint="eastAsia" w:ascii="仿宋" w:hAnsi="仿宋" w:eastAsia="仿宋" w:cs="仿宋"/>
                <w:bCs/>
                <w:szCs w:val="21"/>
              </w:rPr>
              <w:t>中期评估考核（2025年 5月）</w:t>
            </w:r>
          </w:p>
        </w:tc>
        <w:tc>
          <w:tcPr>
            <w:tcW w:w="5961" w:type="dxa"/>
          </w:tcPr>
          <w:p>
            <w:pPr>
              <w:ind w:firstLine="420" w:firstLineChars="200"/>
              <w:rPr>
                <w:rFonts w:ascii="仿宋" w:hAnsi="仿宋" w:eastAsia="仿宋" w:cs="仿宋"/>
                <w:bCs/>
                <w:szCs w:val="21"/>
              </w:rPr>
            </w:pPr>
            <w:r>
              <w:rPr>
                <w:rFonts w:hint="eastAsia" w:ascii="仿宋" w:hAnsi="仿宋" w:eastAsia="仿宋" w:cs="仿宋"/>
                <w:bCs/>
                <w:szCs w:val="21"/>
              </w:rPr>
              <w:t>学校党委以目标管理和过程管理相结合的方式，加强培育创建工作管理考核。各建设单位应于 2025年 5 月底前，提交年度工作总结和成果报告。党委组织部进行考核评估，相关意见及时反馈建设单位。考核合格的，拨付下一年度建设经费；考核不合格 的，限期整改，视情决定是否继续予以支持。</w:t>
            </w:r>
            <w:r>
              <w:rPr>
                <w:rFonts w:hint="eastAsia" w:ascii="仿宋" w:hAnsi="仿宋" w:eastAsia="仿宋" w:cs="仿宋"/>
                <w:color w:val="000000"/>
                <w:kern w:val="0"/>
                <w:szCs w:val="21"/>
                <w:lang w:bidi="ar"/>
              </w:rPr>
              <w:t xml:space="preserve"> </w:t>
            </w:r>
          </w:p>
        </w:tc>
        <w:tc>
          <w:tcPr>
            <w:tcW w:w="1410" w:type="dxa"/>
            <w:vAlign w:val="center"/>
          </w:tcPr>
          <w:p>
            <w:pPr>
              <w:jc w:val="center"/>
              <w:rPr>
                <w:rFonts w:ascii="仿宋" w:hAnsi="仿宋" w:eastAsia="仿宋" w:cs="仿宋"/>
                <w:bCs/>
                <w:szCs w:val="21"/>
              </w:rPr>
            </w:pPr>
            <w:r>
              <w:rPr>
                <w:rFonts w:hint="eastAsia" w:ascii="仿宋" w:hAnsi="仿宋" w:eastAsia="仿宋" w:cs="仿宋"/>
                <w:bCs/>
                <w:szCs w:val="21"/>
              </w:rPr>
              <w:t>党委组织部，各二级学院党总支、直属党支部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trPr>
        <w:tc>
          <w:tcPr>
            <w:tcW w:w="675" w:type="dxa"/>
            <w:vAlign w:val="center"/>
          </w:tcPr>
          <w:p>
            <w:pPr>
              <w:jc w:val="center"/>
              <w:rPr>
                <w:rFonts w:ascii="仿宋" w:hAnsi="仿宋" w:eastAsia="仿宋" w:cs="仿宋"/>
                <w:bCs/>
                <w:szCs w:val="21"/>
              </w:rPr>
            </w:pPr>
            <w:r>
              <w:rPr>
                <w:rFonts w:hint="eastAsia" w:ascii="仿宋" w:hAnsi="仿宋" w:eastAsia="仿宋" w:cs="仿宋"/>
                <w:bCs/>
                <w:szCs w:val="21"/>
              </w:rPr>
              <w:t>2025年底</w:t>
            </w:r>
          </w:p>
        </w:tc>
        <w:tc>
          <w:tcPr>
            <w:tcW w:w="709" w:type="dxa"/>
            <w:vAlign w:val="center"/>
          </w:tcPr>
          <w:p>
            <w:pPr>
              <w:rPr>
                <w:rFonts w:ascii="仿宋" w:hAnsi="仿宋" w:eastAsia="仿宋" w:cs="仿宋"/>
                <w:bCs/>
                <w:szCs w:val="21"/>
              </w:rPr>
            </w:pPr>
            <w:r>
              <w:rPr>
                <w:rFonts w:hint="eastAsia" w:ascii="仿宋" w:hAnsi="仿宋" w:eastAsia="仿宋" w:cs="仿宋"/>
                <w:bCs/>
                <w:szCs w:val="21"/>
              </w:rPr>
              <w:t xml:space="preserve">巩固验收（2025 年 6 月—2025 年12月） </w:t>
            </w:r>
          </w:p>
          <w:p>
            <w:pPr>
              <w:rPr>
                <w:rFonts w:ascii="仿宋" w:hAnsi="仿宋" w:eastAsia="仿宋" w:cs="仿宋"/>
                <w:bCs/>
                <w:szCs w:val="21"/>
              </w:rPr>
            </w:pPr>
          </w:p>
        </w:tc>
        <w:tc>
          <w:tcPr>
            <w:tcW w:w="5961" w:type="dxa"/>
          </w:tcPr>
          <w:p>
            <w:pPr>
              <w:ind w:firstLine="420" w:firstLineChars="200"/>
              <w:rPr>
                <w:rFonts w:ascii="仿宋" w:hAnsi="仿宋" w:eastAsia="仿宋" w:cs="仿宋"/>
                <w:bCs/>
                <w:szCs w:val="21"/>
              </w:rPr>
            </w:pPr>
            <w:r>
              <w:rPr>
                <w:rFonts w:hint="eastAsia" w:ascii="仿宋" w:hAnsi="仿宋" w:eastAsia="仿宋" w:cs="仿宋"/>
                <w:bCs/>
                <w:szCs w:val="21"/>
              </w:rPr>
              <w:t>各建设单位根据中期评估反馈意见，及时整改问题，推进任务开展，巩固建设成果，提升示范成效。2025 年 6 月前，党委组织部对各建设单位开展项目验收工作。各建设单位应于 2026 年 5 月前，提交工作总结报告、培育创建成果。相关成果原则上不能少于“四个一”：即，在体制机制、经验举措、方法办法上形成 1 套可复制</w:t>
            </w:r>
            <w:r>
              <w:rPr>
                <w:rFonts w:hint="eastAsia" w:ascii="仿宋" w:hAnsi="仿宋" w:eastAsia="仿宋" w:cs="仿宋"/>
                <w:bCs/>
                <w:szCs w:val="21"/>
                <w:lang w:eastAsia="zh-CN"/>
              </w:rPr>
              <w:t>、可</w:t>
            </w:r>
            <w:r>
              <w:rPr>
                <w:rFonts w:hint="eastAsia" w:ascii="仿宋" w:hAnsi="仿宋" w:eastAsia="仿宋" w:cs="仿宋"/>
                <w:bCs/>
                <w:szCs w:val="21"/>
              </w:rPr>
              <w:t>推广的典型经验，高质高效运作 1 个新媒体平台，制 作 1 个示范点建设微视频，汇编 1 本示范点建设成果资料。党委组织部组织相关专家在审查总结报告、成果材料的基础上，采取 听取专题汇报、实地考察验收等方式进行综合评定。2026 年 6 月公布评定结果，评定达标的，予以结项，深化宣传推广；评定不达标的予以通报，严格追责问责。</w:t>
            </w:r>
          </w:p>
        </w:tc>
        <w:tc>
          <w:tcPr>
            <w:tcW w:w="1410" w:type="dxa"/>
            <w:vAlign w:val="center"/>
          </w:tcPr>
          <w:p>
            <w:pPr>
              <w:jc w:val="center"/>
              <w:rPr>
                <w:rFonts w:ascii="仿宋" w:hAnsi="仿宋" w:eastAsia="仿宋" w:cs="仿宋"/>
                <w:bCs/>
                <w:szCs w:val="21"/>
              </w:rPr>
            </w:pPr>
            <w:r>
              <w:rPr>
                <w:rFonts w:hint="eastAsia" w:ascii="仿宋" w:hAnsi="仿宋" w:eastAsia="仿宋" w:cs="仿宋"/>
                <w:bCs/>
                <w:szCs w:val="21"/>
              </w:rPr>
              <w:t>党委组织部，各二级学院党总支、直属党支部</w:t>
            </w:r>
          </w:p>
        </w:tc>
      </w:tr>
    </w:tbl>
    <w:p>
      <w:pPr>
        <w:keepNext/>
        <w:keepLines/>
        <w:spacing w:line="540" w:lineRule="exact"/>
        <w:ind w:firstLine="562" w:firstLineChars="200"/>
        <w:outlineLvl w:val="3"/>
        <w:rPr>
          <w:rFonts w:ascii="Times New Roman" w:hAnsi="Times New Roman" w:eastAsia="仿宋"/>
          <w:b/>
          <w:sz w:val="28"/>
          <w:szCs w:val="28"/>
        </w:rPr>
      </w:pPr>
      <w:r>
        <w:rPr>
          <w:rFonts w:hint="eastAsia" w:ascii="Times New Roman" w:hAnsi="Times New Roman" w:eastAsia="仿宋"/>
          <w:b/>
          <w:sz w:val="28"/>
          <w:szCs w:val="28"/>
        </w:rPr>
        <w:t>（6）预期成效及资金测算</w:t>
      </w:r>
    </w:p>
    <w:tbl>
      <w:tblPr>
        <w:tblStyle w:val="16"/>
        <w:tblpPr w:leftFromText="181" w:rightFromText="181" w:vertAnchor="text" w:horzAnchor="page" w:tblpX="1787" w:tblpY="1"/>
        <w:tblOverlap w:val="never"/>
        <w:tblW w:w="8762" w:type="dxa"/>
        <w:tblInd w:w="0" w:type="dxa"/>
        <w:tblLayout w:type="fixed"/>
        <w:tblCellMar>
          <w:top w:w="17" w:type="dxa"/>
          <w:left w:w="0" w:type="dxa"/>
          <w:bottom w:w="17" w:type="dxa"/>
          <w:right w:w="0" w:type="dxa"/>
        </w:tblCellMar>
      </w:tblPr>
      <w:tblGrid>
        <w:gridCol w:w="1042"/>
        <w:gridCol w:w="2726"/>
        <w:gridCol w:w="2376"/>
        <w:gridCol w:w="885"/>
        <w:gridCol w:w="853"/>
        <w:gridCol w:w="880"/>
      </w:tblGrid>
      <w:tr>
        <w:tblPrEx>
          <w:tblCellMar>
            <w:top w:w="17" w:type="dxa"/>
            <w:left w:w="0" w:type="dxa"/>
            <w:bottom w:w="17" w:type="dxa"/>
            <w:right w:w="0" w:type="dxa"/>
          </w:tblCellMar>
        </w:tblPrEx>
        <w:trPr>
          <w:trHeight w:val="346" w:hRule="atLeast"/>
        </w:trPr>
        <w:tc>
          <w:tcPr>
            <w:tcW w:w="1042" w:type="dxa"/>
            <w:vMerge w:val="restart"/>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topLinePunct/>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项目名称</w:t>
            </w:r>
          </w:p>
        </w:tc>
        <w:tc>
          <w:tcPr>
            <w:tcW w:w="2726" w:type="dxa"/>
            <w:vMerge w:val="restart"/>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topLinePunct/>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主要建设内容</w:t>
            </w:r>
          </w:p>
        </w:tc>
        <w:tc>
          <w:tcPr>
            <w:tcW w:w="2376" w:type="dxa"/>
            <w:vMerge w:val="restart"/>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topLinePunct/>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预期建设成效</w:t>
            </w:r>
          </w:p>
        </w:tc>
        <w:tc>
          <w:tcPr>
            <w:tcW w:w="2618" w:type="dxa"/>
            <w:gridSpan w:val="3"/>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topLinePunct/>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建设资金安排表（万元）</w:t>
            </w:r>
          </w:p>
        </w:tc>
      </w:tr>
      <w:tr>
        <w:tblPrEx>
          <w:tblCellMar>
            <w:top w:w="17" w:type="dxa"/>
            <w:left w:w="0" w:type="dxa"/>
            <w:bottom w:w="17" w:type="dxa"/>
            <w:right w:w="0" w:type="dxa"/>
          </w:tblCellMar>
        </w:tblPrEx>
        <w:trPr>
          <w:trHeight w:val="651" w:hRule="atLeast"/>
        </w:trPr>
        <w:tc>
          <w:tcPr>
            <w:tcW w:w="1042" w:type="dxa"/>
            <w:vMerge w:val="continue"/>
            <w:tcBorders>
              <w:top w:val="single" w:color="000000" w:sz="4" w:space="0"/>
              <w:left w:val="single" w:color="000000" w:sz="4" w:space="0"/>
              <w:bottom w:val="single" w:color="000000" w:sz="4" w:space="0"/>
              <w:right w:val="single" w:color="000000" w:sz="4" w:space="0"/>
            </w:tcBorders>
            <w:vAlign w:val="center"/>
          </w:tcPr>
          <w:p>
            <w:pPr>
              <w:widowControl/>
              <w:topLinePunct/>
              <w:jc w:val="center"/>
              <w:rPr>
                <w:rFonts w:ascii="仿宋" w:hAnsi="仿宋" w:eastAsia="仿宋" w:cs="仿宋"/>
                <w:b/>
                <w:bCs/>
                <w:color w:val="000000"/>
                <w:kern w:val="0"/>
                <w:szCs w:val="21"/>
              </w:rPr>
            </w:pPr>
          </w:p>
        </w:tc>
        <w:tc>
          <w:tcPr>
            <w:tcW w:w="2726" w:type="dxa"/>
            <w:vMerge w:val="continue"/>
            <w:tcBorders>
              <w:top w:val="single" w:color="000000" w:sz="4" w:space="0"/>
              <w:left w:val="single" w:color="000000" w:sz="4" w:space="0"/>
              <w:bottom w:val="single" w:color="000000" w:sz="4" w:space="0"/>
              <w:right w:val="single" w:color="000000" w:sz="4" w:space="0"/>
            </w:tcBorders>
            <w:vAlign w:val="center"/>
          </w:tcPr>
          <w:p>
            <w:pPr>
              <w:widowControl/>
              <w:topLinePunct/>
              <w:jc w:val="center"/>
              <w:rPr>
                <w:rFonts w:ascii="仿宋" w:hAnsi="仿宋" w:eastAsia="仿宋" w:cs="仿宋"/>
                <w:b/>
                <w:bCs/>
                <w:color w:val="000000"/>
                <w:kern w:val="0"/>
                <w:szCs w:val="21"/>
              </w:rPr>
            </w:pPr>
          </w:p>
        </w:tc>
        <w:tc>
          <w:tcPr>
            <w:tcW w:w="2376" w:type="dxa"/>
            <w:vMerge w:val="continue"/>
            <w:tcBorders>
              <w:top w:val="single" w:color="000000" w:sz="4" w:space="0"/>
              <w:left w:val="single" w:color="000000" w:sz="4" w:space="0"/>
              <w:bottom w:val="single" w:color="000000" w:sz="4" w:space="0"/>
              <w:right w:val="single" w:color="000000" w:sz="4" w:space="0"/>
            </w:tcBorders>
            <w:vAlign w:val="center"/>
          </w:tcPr>
          <w:p>
            <w:pPr>
              <w:widowControl/>
              <w:topLinePunct/>
              <w:jc w:val="center"/>
              <w:rPr>
                <w:rFonts w:ascii="仿宋" w:hAnsi="仿宋" w:eastAsia="仿宋" w:cs="仿宋"/>
                <w:b/>
                <w:bCs/>
                <w:color w:val="000000"/>
                <w:kern w:val="0"/>
                <w:szCs w:val="21"/>
              </w:rPr>
            </w:pPr>
          </w:p>
        </w:tc>
        <w:tc>
          <w:tcPr>
            <w:tcW w:w="885" w:type="dxa"/>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topLinePunct/>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2023年</w:t>
            </w:r>
          </w:p>
        </w:tc>
        <w:tc>
          <w:tcPr>
            <w:tcW w:w="853" w:type="dxa"/>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topLinePunct/>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2024年</w:t>
            </w:r>
          </w:p>
        </w:tc>
        <w:tc>
          <w:tcPr>
            <w:tcW w:w="880" w:type="dxa"/>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topLinePunct/>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2025年</w:t>
            </w:r>
          </w:p>
        </w:tc>
      </w:tr>
      <w:tr>
        <w:tblPrEx>
          <w:tblCellMar>
            <w:top w:w="17" w:type="dxa"/>
            <w:left w:w="0" w:type="dxa"/>
            <w:bottom w:w="17" w:type="dxa"/>
            <w:right w:w="0" w:type="dxa"/>
          </w:tblCellMar>
        </w:tblPrEx>
        <w:trPr>
          <w:trHeight w:val="2285" w:hRule="atLeast"/>
        </w:trPr>
        <w:tc>
          <w:tcPr>
            <w:tcW w:w="1042"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仿宋"/>
                <w:bCs/>
                <w:szCs w:val="21"/>
              </w:rPr>
            </w:pPr>
            <w:r>
              <w:rPr>
                <w:rFonts w:ascii="仿宋" w:hAnsi="仿宋" w:eastAsia="仿宋" w:cs="仿宋"/>
                <w:bCs/>
                <w:szCs w:val="21"/>
              </w:rPr>
              <w:t>党建示范创优项目</w:t>
            </w:r>
          </w:p>
        </w:tc>
        <w:tc>
          <w:tcPr>
            <w:tcW w:w="2726"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仿宋"/>
                <w:bCs/>
                <w:szCs w:val="21"/>
              </w:rPr>
            </w:pPr>
            <w:r>
              <w:rPr>
                <w:rFonts w:ascii="仿宋" w:hAnsi="仿宋" w:eastAsia="仿宋" w:cs="仿宋"/>
                <w:bCs/>
                <w:szCs w:val="21"/>
              </w:rPr>
              <w:t>在全校培育创建</w:t>
            </w:r>
            <w:r>
              <w:rPr>
                <w:rFonts w:hint="eastAsia" w:ascii="仿宋" w:hAnsi="仿宋" w:eastAsia="仿宋" w:cs="仿宋"/>
                <w:bCs/>
                <w:szCs w:val="21"/>
              </w:rPr>
              <w:t>1所“党建工作示范高校”，</w:t>
            </w:r>
            <w:r>
              <w:rPr>
                <w:rFonts w:ascii="仿宋" w:hAnsi="仿宋" w:eastAsia="仿宋" w:cs="仿宋"/>
                <w:bCs/>
                <w:szCs w:val="21"/>
              </w:rPr>
              <w:t>2个党建工作标杆院系，3个党建工作样板支部，5个以上党建创新工作案例。</w:t>
            </w:r>
          </w:p>
        </w:tc>
        <w:tc>
          <w:tcPr>
            <w:tcW w:w="2376"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仿宋"/>
                <w:bCs/>
                <w:szCs w:val="21"/>
              </w:rPr>
            </w:pPr>
            <w:r>
              <w:rPr>
                <w:rFonts w:ascii="仿宋" w:hAnsi="仿宋" w:eastAsia="仿宋" w:cs="仿宋"/>
                <w:bCs/>
                <w:szCs w:val="21"/>
              </w:rPr>
              <w:t>推动党的建设与学校事业发展深度融合，使学校各级党组织全面进步、全面过硬，推动学校党建质量全面创优全面提升。</w:t>
            </w:r>
          </w:p>
        </w:tc>
        <w:tc>
          <w:tcPr>
            <w:tcW w:w="885"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bCs/>
                <w:szCs w:val="21"/>
              </w:rPr>
            </w:pPr>
            <w:r>
              <w:rPr>
                <w:rFonts w:hint="eastAsia" w:ascii="仿宋" w:hAnsi="仿宋" w:eastAsia="仿宋" w:cs="仿宋"/>
                <w:bCs/>
                <w:szCs w:val="21"/>
              </w:rPr>
              <w:t>20</w:t>
            </w:r>
          </w:p>
        </w:tc>
        <w:tc>
          <w:tcPr>
            <w:tcW w:w="85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bCs/>
                <w:szCs w:val="21"/>
              </w:rPr>
            </w:pPr>
            <w:r>
              <w:rPr>
                <w:rFonts w:hint="eastAsia" w:ascii="仿宋" w:hAnsi="仿宋" w:eastAsia="仿宋" w:cs="仿宋"/>
                <w:bCs/>
                <w:szCs w:val="21"/>
              </w:rPr>
              <w:t>20</w:t>
            </w:r>
          </w:p>
        </w:tc>
        <w:tc>
          <w:tcPr>
            <w:tcW w:w="88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bCs/>
                <w:szCs w:val="21"/>
              </w:rPr>
            </w:pPr>
            <w:r>
              <w:rPr>
                <w:rFonts w:hint="eastAsia" w:ascii="仿宋" w:hAnsi="仿宋" w:eastAsia="仿宋" w:cs="仿宋"/>
                <w:bCs/>
                <w:szCs w:val="21"/>
              </w:rPr>
              <w:t>20</w:t>
            </w:r>
          </w:p>
        </w:tc>
      </w:tr>
    </w:tbl>
    <w:p/>
    <w:p>
      <w:pPr>
        <w:pStyle w:val="4"/>
      </w:pPr>
      <w:bookmarkStart w:id="24" w:name="_Toc164347827"/>
      <w:r>
        <w:rPr>
          <w:rFonts w:hint="eastAsia"/>
        </w:rPr>
        <w:t>2.意识形态主阵地建设项目</w:t>
      </w:r>
      <w:bookmarkEnd w:id="24"/>
    </w:p>
    <w:p>
      <w:pPr>
        <w:pStyle w:val="5"/>
        <w:ind w:firstLine="562"/>
      </w:pPr>
      <w:r>
        <w:rPr>
          <w:rFonts w:hint="eastAsia"/>
        </w:rPr>
        <w:t>（1）必要性和可行性</w:t>
      </w:r>
    </w:p>
    <w:p>
      <w:pPr>
        <w:spacing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党的二十大报告强调：“意识形态工作是为国家立心、为民族立魂的工作。”高校作为立德树人培养社会主义时代新人的主阵地，也是意识形态的前沿阵地，加强高校意识形态建设，事关党对高校的领导，事关全面贯彻党的教育方针，事关中国特色社会主义事业后继有人。新的时期，</w:t>
      </w:r>
      <w:r>
        <w:rPr>
          <w:rFonts w:ascii="仿宋" w:hAnsi="仿宋" w:eastAsia="仿宋" w:cs="仿宋"/>
          <w:bCs/>
          <w:sz w:val="28"/>
          <w:szCs w:val="28"/>
        </w:rPr>
        <w:t>西方错误思潮渗透造成意识形态“西化”的风险，新媒体新技术发展加剧意识形态“泛化”的风险，高校意识形态体制机制缺陷导致意识形态“弱化”的风险。</w:t>
      </w:r>
      <w:r>
        <w:rPr>
          <w:rFonts w:hint="eastAsia" w:ascii="仿宋" w:hAnsi="仿宋" w:eastAsia="仿宋" w:cs="仿宋"/>
          <w:bCs/>
          <w:sz w:val="28"/>
          <w:szCs w:val="28"/>
        </w:rPr>
        <w:t>筑牢学校意识形态主阵地，是学校</w:t>
      </w:r>
      <w:r>
        <w:rPr>
          <w:rFonts w:ascii="仿宋" w:hAnsi="仿宋" w:eastAsia="仿宋" w:cs="仿宋"/>
          <w:bCs/>
          <w:sz w:val="28"/>
          <w:szCs w:val="28"/>
        </w:rPr>
        <w:t>应对意识形态风险挑战的现实要求。</w:t>
      </w:r>
    </w:p>
    <w:p>
      <w:pPr>
        <w:spacing w:line="540" w:lineRule="exact"/>
        <w:ind w:firstLine="560" w:firstLineChars="200"/>
        <w:rPr>
          <w:rFonts w:ascii="仿宋" w:hAnsi="仿宋" w:eastAsia="仿宋" w:cs="仿宋"/>
          <w:bCs/>
          <w:sz w:val="28"/>
          <w:szCs w:val="28"/>
        </w:rPr>
      </w:pPr>
      <w:r>
        <w:rPr>
          <w:rFonts w:ascii="仿宋" w:hAnsi="仿宋" w:eastAsia="仿宋" w:cs="仿宋"/>
          <w:bCs/>
          <w:sz w:val="28"/>
          <w:szCs w:val="28"/>
        </w:rPr>
        <w:t>习近平总书记在全国高校党的建设工作会议上指出，要坚持立德树人，把培育和践行社会主义核心价值观融入教书育人全过程；强化思想引领，牢牢把握高校意识形态工作领导权。</w:t>
      </w:r>
      <w:r>
        <w:rPr>
          <w:rFonts w:hint="eastAsia" w:ascii="仿宋" w:hAnsi="仿宋" w:eastAsia="仿宋" w:cs="仿宋"/>
          <w:bCs/>
          <w:sz w:val="28"/>
          <w:szCs w:val="28"/>
        </w:rPr>
        <w:t>高职院校作为意识形态教育工作前沿阵地，在新时代意识形态阵地建设中，要有系统思维，明确新的要求和目标，才能在面对新机遇与挑战的同时，采取一系列新的对策与举措，应对新的问题。</w:t>
      </w:r>
      <w:r>
        <w:rPr>
          <w:rFonts w:ascii="仿宋" w:hAnsi="仿宋" w:eastAsia="仿宋" w:cs="仿宋"/>
          <w:bCs/>
          <w:sz w:val="28"/>
          <w:szCs w:val="28"/>
        </w:rPr>
        <w:t>中共中央办公厅</w:t>
      </w:r>
      <w:r>
        <w:rPr>
          <w:rFonts w:hint="eastAsia" w:ascii="仿宋" w:hAnsi="仿宋" w:eastAsia="仿宋" w:cs="仿宋"/>
          <w:bCs/>
          <w:sz w:val="28"/>
          <w:szCs w:val="28"/>
        </w:rPr>
        <w:t xml:space="preserve"> </w:t>
      </w:r>
      <w:r>
        <w:rPr>
          <w:rFonts w:ascii="仿宋" w:hAnsi="仿宋" w:eastAsia="仿宋" w:cs="仿宋"/>
          <w:bCs/>
          <w:sz w:val="28"/>
          <w:szCs w:val="28"/>
        </w:rPr>
        <w:t>国务院办公厅</w:t>
      </w:r>
      <w:r>
        <w:rPr>
          <w:rFonts w:hint="eastAsia" w:ascii="仿宋" w:hAnsi="仿宋" w:eastAsia="仿宋" w:cs="仿宋"/>
          <w:bCs/>
          <w:sz w:val="28"/>
          <w:szCs w:val="28"/>
        </w:rPr>
        <w:t>《关于进一步加强和改进新形势下高校宣传思想工作的意见》指出，高校加强意识形态阵地建设，要形成党委统一领导，党政工团齐抓共管、党委宣传部门牵头协调、教务处、学生处、团委和院（系）共同参与的工作机制，形成工作合力，为学校意识形态阵地建设提供了根本遵循。</w:t>
      </w:r>
    </w:p>
    <w:p>
      <w:pPr>
        <w:pStyle w:val="5"/>
        <w:ind w:firstLine="562"/>
      </w:pPr>
      <w:r>
        <w:rPr>
          <w:rFonts w:hint="eastAsia"/>
        </w:rPr>
        <w:t>（2）拟解决的关键问题</w:t>
      </w:r>
    </w:p>
    <w:p>
      <w:pPr>
        <w:spacing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通过不断巩固、拓展宣传思想工作的主阵地，进一步落实意识形态责任制，牢牢掌握意识形态工作的主导权、管理权、话语权，充分发挥学校党委的领导核心作用，进一步加强和改进学校意识形态工作，明确落实党管意识形态原则，巩固马克思主义在意识形态领域的指导地位，把立德树人作为根本任务，把思想政治工作贯穿于教育教学全过程，利用好思政理论课堂教学这一主流意识形态教育主渠道，充分发挥马克思主义理论学科的思想引领作用，强化校园网络意识形态阵地的建设和管理，落实好网络舆论引导和主流价值观宣传，充分利用新媒体技术提升学校意识形态教育质量，守好意识形态安全“南大门”的惠工阵地。</w:t>
      </w:r>
    </w:p>
    <w:p>
      <w:pPr>
        <w:pStyle w:val="5"/>
        <w:ind w:firstLine="562"/>
      </w:pPr>
      <w:r>
        <w:rPr>
          <w:rFonts w:hint="eastAsia"/>
        </w:rPr>
        <w:t>（3）建设目标</w:t>
      </w:r>
    </w:p>
    <w:p>
      <w:pPr>
        <w:spacing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不断加强学校意识形态工作组织领导、加强学校思想政治理论课建设、学生日常思想政治教育、心理健康教育、履行意识形态工作主要职责，全面落实学校意识形态工作责任制，打造一批“思政课程”和“课程思政”精品课程，着力构建思想政治理论课、通识教育课、专业教育课程“三位一体”的思想政治教育精品课程体系，努力推进全员全过程全方位育人，引进一批高层次人才充实进辅导员、思政教师队伍，组织开展全校教师开展教学能力、师德师风等培训，实现全校教师培训全覆盖，在建设好惠州市“三全育人”学校和惠州市“立德树人”校园新时代文明实践基地基础上，创建</w:t>
      </w:r>
      <w:r>
        <w:rPr>
          <w:rFonts w:ascii="仿宋" w:hAnsi="仿宋" w:eastAsia="仿宋" w:cs="仿宋"/>
          <w:bCs/>
          <w:sz w:val="28"/>
          <w:szCs w:val="28"/>
        </w:rPr>
        <w:t>广东省高校“三全育人”体制机制建设试点单位</w:t>
      </w:r>
      <w:r>
        <w:rPr>
          <w:rFonts w:hint="eastAsia" w:ascii="仿宋" w:hAnsi="仿宋" w:eastAsia="仿宋" w:cs="仿宋"/>
          <w:bCs/>
          <w:sz w:val="28"/>
          <w:szCs w:val="28"/>
        </w:rPr>
        <w:t>。</w:t>
      </w:r>
    </w:p>
    <w:p>
      <w:pPr>
        <w:pStyle w:val="5"/>
        <w:ind w:firstLine="562"/>
      </w:pPr>
      <w:r>
        <w:rPr>
          <w:rFonts w:hint="eastAsia"/>
        </w:rPr>
        <w:t>（4）重点建设任务</w:t>
      </w:r>
    </w:p>
    <w:p>
      <w:pPr>
        <w:spacing w:line="540" w:lineRule="exact"/>
        <w:ind w:firstLine="562" w:firstLineChars="200"/>
        <w:rPr>
          <w:rFonts w:ascii="仿宋" w:hAnsi="仿宋" w:eastAsia="仿宋" w:cs="仿宋"/>
          <w:b/>
          <w:sz w:val="28"/>
          <w:szCs w:val="28"/>
        </w:rPr>
      </w:pPr>
      <w:r>
        <w:rPr>
          <w:rFonts w:hint="eastAsia" w:ascii="仿宋" w:hAnsi="仿宋" w:eastAsia="仿宋" w:cs="仿宋"/>
          <w:b/>
          <w:sz w:val="28"/>
          <w:szCs w:val="28"/>
        </w:rPr>
        <w:fldChar w:fldCharType="begin"/>
      </w:r>
      <w:r>
        <w:rPr>
          <w:rFonts w:hint="eastAsia" w:ascii="仿宋" w:hAnsi="仿宋" w:eastAsia="仿宋" w:cs="仿宋"/>
          <w:b/>
          <w:sz w:val="28"/>
          <w:szCs w:val="28"/>
        </w:rPr>
        <w:instrText xml:space="preserve"> = 1 \* GB3 </w:instrText>
      </w:r>
      <w:r>
        <w:rPr>
          <w:rFonts w:hint="eastAsia" w:ascii="仿宋" w:hAnsi="仿宋" w:eastAsia="仿宋" w:cs="仿宋"/>
          <w:b/>
          <w:sz w:val="28"/>
          <w:szCs w:val="28"/>
        </w:rPr>
        <w:fldChar w:fldCharType="separate"/>
      </w:r>
      <w:r>
        <w:rPr>
          <w:rFonts w:hint="eastAsia" w:ascii="仿宋" w:hAnsi="仿宋" w:eastAsia="仿宋" w:cs="仿宋"/>
          <w:b/>
          <w:sz w:val="28"/>
          <w:szCs w:val="28"/>
        </w:rPr>
        <w:t>①</w:t>
      </w:r>
      <w:r>
        <w:rPr>
          <w:rFonts w:hint="eastAsia" w:ascii="仿宋" w:hAnsi="仿宋" w:eastAsia="仿宋" w:cs="仿宋"/>
          <w:b/>
          <w:sz w:val="28"/>
          <w:szCs w:val="28"/>
        </w:rPr>
        <w:fldChar w:fldCharType="end"/>
      </w:r>
      <w:r>
        <w:rPr>
          <w:rFonts w:hint="eastAsia" w:ascii="仿宋" w:hAnsi="仿宋" w:eastAsia="仿宋" w:cs="仿宋"/>
          <w:b/>
          <w:sz w:val="28"/>
          <w:szCs w:val="28"/>
        </w:rPr>
        <w:t xml:space="preserve"> 发挥马克思主义理论学科引领作用</w:t>
      </w:r>
    </w:p>
    <w:p>
      <w:pPr>
        <w:spacing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一是认真把关马克思主义理论教学内容且与时俱进地进行补充丰富。做到内容的及时更新和精选优选，明确培养塑造学生端正的政治家国意识和思想道德观念的意识形态教育目标；二是灵活运用开放先进的思政教学手段提升教学质量。改变以往纯粹宣传理论的教学模式，在扎实掌握马克思主义基本原理和科学方法论的基础上，做到对教学理论的通俗生动诠释。广泛普及思政课堂对先进媒介技术手段和时代新元素的运用，充分运用时下国内外社会热点导入理论思想教学，将主流意识形态理论教学和价值引导、实践思考相统一，满足学生意识形态培养塑造的要求。</w:t>
      </w:r>
    </w:p>
    <w:p>
      <w:pPr>
        <w:spacing w:line="540" w:lineRule="exact"/>
        <w:ind w:firstLine="562" w:firstLineChars="200"/>
        <w:rPr>
          <w:rFonts w:ascii="仿宋" w:hAnsi="仿宋" w:eastAsia="仿宋" w:cs="仿宋"/>
          <w:b/>
          <w:sz w:val="28"/>
          <w:szCs w:val="28"/>
        </w:rPr>
      </w:pPr>
      <w:r>
        <w:rPr>
          <w:rFonts w:hint="eastAsia" w:ascii="仿宋" w:hAnsi="仿宋" w:eastAsia="仿宋" w:cs="仿宋"/>
          <w:b/>
          <w:sz w:val="28"/>
          <w:szCs w:val="28"/>
        </w:rPr>
        <w:fldChar w:fldCharType="begin"/>
      </w:r>
      <w:r>
        <w:rPr>
          <w:rFonts w:hint="eastAsia" w:ascii="仿宋" w:hAnsi="仿宋" w:eastAsia="仿宋" w:cs="仿宋"/>
          <w:b/>
          <w:sz w:val="28"/>
          <w:szCs w:val="28"/>
        </w:rPr>
        <w:instrText xml:space="preserve"> = 2 \* GB3 </w:instrText>
      </w:r>
      <w:r>
        <w:rPr>
          <w:rFonts w:hint="eastAsia" w:ascii="仿宋" w:hAnsi="仿宋" w:eastAsia="仿宋" w:cs="仿宋"/>
          <w:b/>
          <w:sz w:val="28"/>
          <w:szCs w:val="28"/>
        </w:rPr>
        <w:fldChar w:fldCharType="separate"/>
      </w:r>
      <w:r>
        <w:rPr>
          <w:rFonts w:hint="eastAsia" w:ascii="仿宋" w:hAnsi="仿宋" w:eastAsia="仿宋" w:cs="仿宋"/>
          <w:b/>
          <w:sz w:val="28"/>
          <w:szCs w:val="28"/>
        </w:rPr>
        <w:t>②</w:t>
      </w:r>
      <w:r>
        <w:rPr>
          <w:rFonts w:hint="eastAsia" w:ascii="仿宋" w:hAnsi="仿宋" w:eastAsia="仿宋" w:cs="仿宋"/>
          <w:b/>
          <w:sz w:val="28"/>
          <w:szCs w:val="28"/>
        </w:rPr>
        <w:fldChar w:fldCharType="end"/>
      </w:r>
      <w:r>
        <w:rPr>
          <w:rFonts w:hint="eastAsia" w:ascii="仿宋" w:hAnsi="仿宋" w:eastAsia="仿宋" w:cs="仿宋"/>
          <w:b/>
          <w:sz w:val="28"/>
          <w:szCs w:val="28"/>
        </w:rPr>
        <w:t xml:space="preserve"> 加强网络意识形态阵地建设管理</w:t>
      </w:r>
    </w:p>
    <w:p>
      <w:pPr>
        <w:spacing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一是充分利用网络平台媒介，强化校园网络思政育人功能。积极有效运用“学习强国”学习平台和学校网站、公众号等平台宣传党的方针政策和思想路线，促进学生对党的全面了解和拥护，对国家和社会时局趋势的及时掌握。同时科学运营校园微信公众号、视频号，及时了解学生思想意识形态趋势，用主流价值观对学生进行思想行为引导；二是强化校园网络舆情管理。完善网络信息应急机制和网上舆情联动反应机制，加强与第三方舆情监测机构的沟通联系，对不良网站信息进行及时阻隔切断，为学生创造清朗的网络舆论环境，减少不良思想对大学生的精神侵蚀；继续完善优化“喜鹊儿”等校园网络平台软件建设和开发，有效整合可用网络资源，让意识形态教育贯穿学生学习发展成才的全过程。</w:t>
      </w:r>
    </w:p>
    <w:p>
      <w:pPr>
        <w:spacing w:line="540" w:lineRule="exact"/>
        <w:ind w:firstLine="562" w:firstLineChars="200"/>
        <w:rPr>
          <w:rFonts w:ascii="仿宋" w:hAnsi="仿宋" w:eastAsia="仿宋" w:cs="仿宋"/>
          <w:b/>
          <w:sz w:val="28"/>
          <w:szCs w:val="28"/>
        </w:rPr>
      </w:pPr>
      <w:r>
        <w:rPr>
          <w:rFonts w:hint="eastAsia" w:ascii="仿宋" w:hAnsi="仿宋" w:eastAsia="仿宋" w:cs="仿宋"/>
          <w:b/>
          <w:sz w:val="28"/>
          <w:szCs w:val="28"/>
        </w:rPr>
        <w:fldChar w:fldCharType="begin"/>
      </w:r>
      <w:r>
        <w:rPr>
          <w:rFonts w:hint="eastAsia" w:ascii="仿宋" w:hAnsi="仿宋" w:eastAsia="仿宋" w:cs="仿宋"/>
          <w:b/>
          <w:sz w:val="28"/>
          <w:szCs w:val="28"/>
        </w:rPr>
        <w:instrText xml:space="preserve"> = 3 \* GB3 </w:instrText>
      </w:r>
      <w:r>
        <w:rPr>
          <w:rFonts w:hint="eastAsia" w:ascii="仿宋" w:hAnsi="仿宋" w:eastAsia="仿宋" w:cs="仿宋"/>
          <w:b/>
          <w:sz w:val="28"/>
          <w:szCs w:val="28"/>
        </w:rPr>
        <w:fldChar w:fldCharType="separate"/>
      </w:r>
      <w:r>
        <w:rPr>
          <w:rFonts w:hint="eastAsia" w:ascii="仿宋" w:hAnsi="仿宋" w:eastAsia="仿宋" w:cs="仿宋"/>
          <w:b/>
          <w:sz w:val="28"/>
          <w:szCs w:val="28"/>
        </w:rPr>
        <w:t>③</w:t>
      </w:r>
      <w:r>
        <w:rPr>
          <w:rFonts w:hint="eastAsia" w:ascii="仿宋" w:hAnsi="仿宋" w:eastAsia="仿宋" w:cs="仿宋"/>
          <w:b/>
          <w:sz w:val="28"/>
          <w:szCs w:val="28"/>
        </w:rPr>
        <w:fldChar w:fldCharType="end"/>
      </w:r>
      <w:r>
        <w:rPr>
          <w:rFonts w:hint="eastAsia" w:ascii="仿宋" w:hAnsi="仿宋" w:eastAsia="仿宋" w:cs="仿宋"/>
          <w:b/>
          <w:sz w:val="28"/>
          <w:szCs w:val="28"/>
        </w:rPr>
        <w:t xml:space="preserve"> 推进高素质意识形态教育队伍建设</w:t>
      </w:r>
    </w:p>
    <w:p>
      <w:pPr>
        <w:spacing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一是持续推进教师思想政治教育和职业道德教育。开展定期的培训和讲座对教师进行马克思主义理论原理方法和思想观念、习近平新时代中国特色社会主义思想、社会主义核心价值观的普及宣传。建立体系化的教师综合能力素质考评制度，对教师的思想政治素养、职业道德、治学态度、政治意识形态进行针对性评价；二是严格按照要求配备建强专职思政课教师、辅导员队伍，实施思政课特聘教授、兼职教师制度，按规定设立思政课教师专项工作经费，聘请党政领导、先进模范担任思政课兼职教师；三是“传帮带”“一对一”加强对青年思政教师的辅导，促进教师快速成长；四是拓展课堂教学内容，加强思政课教学资源库建设，实施思政课精品课程建设计划，建设好教学素材库、精品课程库，推动党的创新理论和实践成就融入思政课程；五是创新课堂教学方法，注重发挥学生主体性作用，运用小组研学、情景展示、课题研讨、课堂辩论、智慧教育平台等形式组织课堂教学；六是常态化推进辅导员进班级、下宿舍工作，主动走进学生群体当中倾听了解学生思想状态，及时发现问题和给予有效引导干预，教会学生认清本质，抵御不良思想侵蚀。</w:t>
      </w:r>
    </w:p>
    <w:p>
      <w:pPr>
        <w:pStyle w:val="5"/>
        <w:ind w:firstLine="562"/>
      </w:pPr>
      <w:r>
        <w:rPr>
          <w:rFonts w:hint="eastAsia"/>
        </w:rPr>
        <w:t>（5）建设计划</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3363"/>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704" w:type="dxa"/>
            <w:shd w:val="clear" w:color="auto" w:fill="4874CB" w:themeFill="accent1"/>
            <w:vAlign w:val="center"/>
          </w:tcPr>
          <w:p>
            <w:pPr>
              <w:widowControl/>
              <w:topLinePunct/>
              <w:jc w:val="center"/>
              <w:rPr>
                <w:rFonts w:hint="eastAsia" w:ascii="仿宋" w:hAnsi="仿宋" w:eastAsia="仿宋" w:cs="仿宋"/>
                <w:b/>
                <w:bCs/>
                <w:color w:val="000000"/>
                <w:kern w:val="0"/>
                <w:szCs w:val="21"/>
              </w:rPr>
            </w:pPr>
            <w:r>
              <w:rPr>
                <w:rFonts w:hint="eastAsia" w:ascii="仿宋" w:hAnsi="仿宋" w:eastAsia="仿宋" w:cs="仿宋"/>
                <w:b/>
                <w:bCs/>
                <w:color w:val="000000"/>
                <w:kern w:val="0"/>
                <w:szCs w:val="21"/>
              </w:rPr>
              <w:t>年度</w:t>
            </w:r>
          </w:p>
        </w:tc>
        <w:tc>
          <w:tcPr>
            <w:tcW w:w="1704" w:type="dxa"/>
            <w:shd w:val="clear" w:color="auto" w:fill="4874CB" w:themeFill="accent1"/>
            <w:vAlign w:val="center"/>
          </w:tcPr>
          <w:p>
            <w:pPr>
              <w:widowControl/>
              <w:topLinePunct/>
              <w:jc w:val="center"/>
              <w:rPr>
                <w:rFonts w:hint="eastAsia" w:ascii="仿宋" w:hAnsi="仿宋" w:eastAsia="仿宋" w:cs="仿宋"/>
                <w:b/>
                <w:bCs/>
                <w:color w:val="000000"/>
                <w:kern w:val="0"/>
                <w:szCs w:val="21"/>
              </w:rPr>
            </w:pPr>
            <w:r>
              <w:rPr>
                <w:rFonts w:hint="eastAsia" w:ascii="仿宋" w:hAnsi="仿宋" w:eastAsia="仿宋" w:cs="仿宋"/>
                <w:b/>
                <w:bCs/>
                <w:color w:val="000000"/>
                <w:kern w:val="0"/>
                <w:szCs w:val="21"/>
              </w:rPr>
              <w:t>建设任务</w:t>
            </w:r>
          </w:p>
        </w:tc>
        <w:tc>
          <w:tcPr>
            <w:tcW w:w="3363" w:type="dxa"/>
            <w:shd w:val="clear" w:color="auto" w:fill="4874CB" w:themeFill="accent1"/>
            <w:vAlign w:val="center"/>
          </w:tcPr>
          <w:p>
            <w:pPr>
              <w:widowControl/>
              <w:topLinePunct/>
              <w:jc w:val="center"/>
              <w:rPr>
                <w:rFonts w:hint="eastAsia" w:ascii="仿宋" w:hAnsi="仿宋" w:eastAsia="仿宋" w:cs="仿宋"/>
                <w:b/>
                <w:bCs/>
                <w:color w:val="000000"/>
                <w:kern w:val="0"/>
                <w:szCs w:val="21"/>
              </w:rPr>
            </w:pPr>
            <w:r>
              <w:rPr>
                <w:rFonts w:hint="eastAsia" w:ascii="仿宋" w:hAnsi="仿宋" w:eastAsia="仿宋" w:cs="仿宋"/>
                <w:b/>
                <w:bCs/>
                <w:color w:val="000000"/>
                <w:kern w:val="0"/>
                <w:szCs w:val="21"/>
              </w:rPr>
              <w:t>建设内容</w:t>
            </w:r>
          </w:p>
        </w:tc>
        <w:tc>
          <w:tcPr>
            <w:tcW w:w="1559" w:type="dxa"/>
            <w:shd w:val="clear" w:color="auto" w:fill="4874CB" w:themeFill="accent1"/>
            <w:vAlign w:val="center"/>
          </w:tcPr>
          <w:p>
            <w:pPr>
              <w:widowControl/>
              <w:topLinePunct/>
              <w:jc w:val="center"/>
              <w:rPr>
                <w:rFonts w:hint="eastAsia" w:ascii="仿宋" w:hAnsi="仿宋" w:eastAsia="仿宋" w:cs="仿宋"/>
                <w:b/>
                <w:bCs/>
                <w:color w:val="000000"/>
                <w:kern w:val="0"/>
                <w:szCs w:val="21"/>
              </w:rPr>
            </w:pPr>
            <w:r>
              <w:rPr>
                <w:rFonts w:hint="eastAsia" w:ascii="仿宋" w:hAnsi="仿宋" w:eastAsia="仿宋" w:cs="仿宋"/>
                <w:b/>
                <w:bCs/>
                <w:color w:val="000000"/>
                <w:kern w:val="0"/>
                <w:szCs w:val="21"/>
              </w:rPr>
              <w:t>负责部门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Align w:val="center"/>
          </w:tcPr>
          <w:p>
            <w:pPr>
              <w:widowControl/>
              <w:topLinePunct/>
              <w:jc w:val="center"/>
              <w:rPr>
                <w:rFonts w:hint="eastAsia" w:ascii="仿宋" w:hAnsi="仿宋" w:eastAsia="仿宋" w:cs="仿宋"/>
                <w:b/>
                <w:bCs/>
                <w:color w:val="000000"/>
                <w:kern w:val="0"/>
                <w:szCs w:val="21"/>
              </w:rPr>
            </w:pPr>
            <w:r>
              <w:rPr>
                <w:rFonts w:hint="eastAsia" w:ascii="仿宋" w:hAnsi="仿宋" w:eastAsia="仿宋" w:cs="仿宋"/>
                <w:b/>
                <w:bCs/>
                <w:color w:val="000000"/>
                <w:kern w:val="0"/>
                <w:szCs w:val="21"/>
              </w:rPr>
              <w:t>2023</w:t>
            </w:r>
          </w:p>
        </w:tc>
        <w:tc>
          <w:tcPr>
            <w:tcW w:w="1704" w:type="dxa"/>
            <w:vAlign w:val="center"/>
          </w:tcPr>
          <w:p>
            <w:pPr>
              <w:ind w:firstLine="420" w:firstLineChars="200"/>
              <w:rPr>
                <w:rFonts w:hint="eastAsia" w:ascii="仿宋" w:hAnsi="仿宋" w:eastAsia="仿宋" w:cs="仿宋"/>
                <w:bCs/>
                <w:szCs w:val="21"/>
              </w:rPr>
            </w:pPr>
            <w:r>
              <w:rPr>
                <w:rFonts w:hint="eastAsia" w:ascii="仿宋" w:hAnsi="仿宋" w:eastAsia="仿宋" w:cs="仿宋"/>
                <w:bCs/>
                <w:szCs w:val="21"/>
              </w:rPr>
              <w:t>发挥马克思主义理论学科引领作用</w:t>
            </w:r>
          </w:p>
        </w:tc>
        <w:tc>
          <w:tcPr>
            <w:tcW w:w="3363" w:type="dxa"/>
            <w:vAlign w:val="center"/>
          </w:tcPr>
          <w:p>
            <w:pPr>
              <w:ind w:firstLine="420" w:firstLineChars="200"/>
              <w:rPr>
                <w:rFonts w:hint="eastAsia" w:ascii="仿宋" w:hAnsi="仿宋" w:eastAsia="仿宋" w:cs="仿宋"/>
                <w:bCs/>
                <w:szCs w:val="21"/>
              </w:rPr>
            </w:pPr>
            <w:r>
              <w:rPr>
                <w:rFonts w:hint="eastAsia" w:ascii="仿宋" w:hAnsi="仿宋" w:eastAsia="仿宋" w:cs="仿宋"/>
                <w:bCs/>
                <w:szCs w:val="21"/>
              </w:rPr>
              <w:t>认真把关马克思主义理论教学内容且与时俱进地进行补充丰富；灵活运用开放先进的思政教学手段提升教学质量。</w:t>
            </w:r>
          </w:p>
        </w:tc>
        <w:tc>
          <w:tcPr>
            <w:tcW w:w="1559" w:type="dxa"/>
            <w:vAlign w:val="center"/>
          </w:tcPr>
          <w:p>
            <w:pPr>
              <w:ind w:firstLine="420" w:firstLineChars="200"/>
              <w:rPr>
                <w:rFonts w:hint="eastAsia" w:ascii="仿宋" w:hAnsi="仿宋" w:eastAsia="仿宋" w:cs="仿宋"/>
                <w:bCs/>
                <w:szCs w:val="21"/>
              </w:rPr>
            </w:pPr>
            <w:r>
              <w:rPr>
                <w:rFonts w:hint="eastAsia" w:ascii="仿宋" w:hAnsi="仿宋" w:eastAsia="仿宋" w:cs="仿宋"/>
                <w:bCs/>
                <w:szCs w:val="21"/>
              </w:rPr>
              <w:t>马克思主义学院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restart"/>
            <w:vAlign w:val="center"/>
          </w:tcPr>
          <w:p>
            <w:pPr>
              <w:widowControl/>
              <w:topLinePunct/>
              <w:jc w:val="center"/>
              <w:rPr>
                <w:rFonts w:hint="eastAsia" w:ascii="仿宋" w:hAnsi="仿宋" w:eastAsia="仿宋" w:cs="仿宋"/>
                <w:b/>
                <w:bCs/>
                <w:color w:val="000000"/>
                <w:kern w:val="0"/>
                <w:szCs w:val="21"/>
              </w:rPr>
            </w:pPr>
            <w:r>
              <w:rPr>
                <w:rFonts w:hint="eastAsia" w:ascii="仿宋" w:hAnsi="仿宋" w:eastAsia="仿宋" w:cs="仿宋"/>
                <w:b/>
                <w:bCs/>
                <w:color w:val="000000"/>
                <w:kern w:val="0"/>
                <w:szCs w:val="21"/>
              </w:rPr>
              <w:t>2024</w:t>
            </w:r>
          </w:p>
        </w:tc>
        <w:tc>
          <w:tcPr>
            <w:tcW w:w="1704" w:type="dxa"/>
            <w:vAlign w:val="center"/>
          </w:tcPr>
          <w:p>
            <w:pPr>
              <w:ind w:firstLine="420" w:firstLineChars="200"/>
              <w:rPr>
                <w:rFonts w:hint="eastAsia" w:ascii="仿宋" w:hAnsi="仿宋" w:eastAsia="仿宋" w:cs="仿宋"/>
                <w:bCs/>
                <w:szCs w:val="21"/>
              </w:rPr>
            </w:pPr>
            <w:r>
              <w:rPr>
                <w:rFonts w:hint="eastAsia" w:ascii="仿宋" w:hAnsi="仿宋" w:eastAsia="仿宋" w:cs="仿宋"/>
                <w:bCs/>
                <w:szCs w:val="21"/>
              </w:rPr>
              <w:t>加强网络意识形态阵地建设管理</w:t>
            </w:r>
          </w:p>
        </w:tc>
        <w:tc>
          <w:tcPr>
            <w:tcW w:w="3363" w:type="dxa"/>
            <w:vAlign w:val="center"/>
          </w:tcPr>
          <w:p>
            <w:pPr>
              <w:ind w:firstLine="420" w:firstLineChars="200"/>
              <w:rPr>
                <w:rFonts w:hint="eastAsia" w:ascii="仿宋" w:hAnsi="仿宋" w:eastAsia="仿宋" w:cs="仿宋"/>
                <w:bCs/>
                <w:szCs w:val="21"/>
              </w:rPr>
            </w:pPr>
            <w:r>
              <w:rPr>
                <w:rFonts w:hint="eastAsia" w:ascii="仿宋" w:hAnsi="仿宋" w:eastAsia="仿宋" w:cs="仿宋"/>
                <w:bCs/>
                <w:szCs w:val="21"/>
              </w:rPr>
              <w:t>充分利用网络平台媒介，强化校园网络思政育人功能；强化校园网络舆情管理。</w:t>
            </w:r>
          </w:p>
        </w:tc>
        <w:tc>
          <w:tcPr>
            <w:tcW w:w="1559" w:type="dxa"/>
            <w:vAlign w:val="center"/>
          </w:tcPr>
          <w:p>
            <w:pPr>
              <w:ind w:firstLine="420" w:firstLineChars="200"/>
              <w:rPr>
                <w:rFonts w:hint="eastAsia" w:ascii="仿宋" w:hAnsi="仿宋" w:eastAsia="仿宋" w:cs="仿宋"/>
                <w:bCs/>
                <w:szCs w:val="21"/>
              </w:rPr>
            </w:pPr>
            <w:r>
              <w:rPr>
                <w:rFonts w:hint="eastAsia" w:ascii="仿宋" w:hAnsi="仿宋" w:eastAsia="仿宋" w:cs="仿宋"/>
                <w:bCs/>
                <w:szCs w:val="21"/>
              </w:rPr>
              <w:t>党委宣传部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continue"/>
            <w:vAlign w:val="center"/>
          </w:tcPr>
          <w:p>
            <w:pPr>
              <w:widowControl/>
              <w:topLinePunct/>
              <w:jc w:val="center"/>
              <w:rPr>
                <w:rFonts w:hint="eastAsia" w:ascii="仿宋" w:hAnsi="仿宋" w:eastAsia="仿宋" w:cs="仿宋"/>
                <w:b/>
                <w:bCs/>
                <w:color w:val="000000"/>
                <w:kern w:val="0"/>
                <w:szCs w:val="21"/>
              </w:rPr>
            </w:pPr>
          </w:p>
        </w:tc>
        <w:tc>
          <w:tcPr>
            <w:tcW w:w="1704" w:type="dxa"/>
            <w:vAlign w:val="center"/>
          </w:tcPr>
          <w:p>
            <w:pPr>
              <w:ind w:firstLine="420" w:firstLineChars="200"/>
              <w:rPr>
                <w:rFonts w:hint="eastAsia" w:ascii="仿宋" w:hAnsi="仿宋" w:eastAsia="仿宋" w:cs="仿宋"/>
                <w:bCs/>
                <w:szCs w:val="21"/>
              </w:rPr>
            </w:pPr>
            <w:r>
              <w:rPr>
                <w:rFonts w:hint="eastAsia" w:ascii="仿宋" w:hAnsi="仿宋" w:eastAsia="仿宋" w:cs="仿宋"/>
                <w:bCs/>
                <w:szCs w:val="21"/>
              </w:rPr>
              <w:t>建设学校成为惠州市“立德树人”校园新时代文明实践基地</w:t>
            </w:r>
          </w:p>
        </w:tc>
        <w:tc>
          <w:tcPr>
            <w:tcW w:w="3363" w:type="dxa"/>
            <w:vAlign w:val="center"/>
          </w:tcPr>
          <w:p>
            <w:pPr>
              <w:ind w:firstLine="420" w:firstLineChars="200"/>
              <w:rPr>
                <w:rFonts w:hint="eastAsia" w:ascii="仿宋" w:hAnsi="仿宋" w:eastAsia="仿宋" w:cs="仿宋"/>
                <w:bCs/>
                <w:szCs w:val="21"/>
              </w:rPr>
            </w:pPr>
            <w:r>
              <w:rPr>
                <w:rFonts w:hint="eastAsia" w:ascii="仿宋" w:hAnsi="仿宋" w:eastAsia="仿宋" w:cs="仿宋"/>
                <w:bCs/>
                <w:szCs w:val="21"/>
              </w:rPr>
              <w:t>根据惠州市教育局相关要求，申办成为惠州市“立德树人”校园新时代文明实践基地。</w:t>
            </w:r>
          </w:p>
        </w:tc>
        <w:tc>
          <w:tcPr>
            <w:tcW w:w="1559" w:type="dxa"/>
            <w:vAlign w:val="center"/>
          </w:tcPr>
          <w:p>
            <w:pPr>
              <w:ind w:firstLine="420" w:firstLineChars="200"/>
              <w:rPr>
                <w:rFonts w:hint="eastAsia" w:ascii="仿宋" w:hAnsi="仿宋" w:eastAsia="仿宋" w:cs="仿宋"/>
                <w:bCs/>
                <w:szCs w:val="21"/>
              </w:rPr>
            </w:pPr>
            <w:r>
              <w:rPr>
                <w:rFonts w:hint="eastAsia" w:ascii="仿宋" w:hAnsi="仿宋" w:eastAsia="仿宋" w:cs="仿宋"/>
                <w:bCs/>
                <w:szCs w:val="21"/>
              </w:rPr>
              <w:t>党委宣传部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Align w:val="center"/>
          </w:tcPr>
          <w:p>
            <w:pPr>
              <w:widowControl/>
              <w:topLinePunct/>
              <w:jc w:val="center"/>
              <w:rPr>
                <w:rFonts w:hint="eastAsia" w:ascii="仿宋" w:hAnsi="仿宋" w:eastAsia="仿宋" w:cs="仿宋"/>
                <w:b/>
                <w:bCs/>
                <w:color w:val="000000"/>
                <w:kern w:val="0"/>
                <w:szCs w:val="21"/>
              </w:rPr>
            </w:pPr>
            <w:r>
              <w:rPr>
                <w:rFonts w:hint="eastAsia" w:ascii="仿宋" w:hAnsi="仿宋" w:eastAsia="仿宋" w:cs="仿宋"/>
                <w:b/>
                <w:bCs/>
                <w:color w:val="000000"/>
                <w:kern w:val="0"/>
                <w:szCs w:val="21"/>
              </w:rPr>
              <w:t>2025</w:t>
            </w:r>
          </w:p>
        </w:tc>
        <w:tc>
          <w:tcPr>
            <w:tcW w:w="1704" w:type="dxa"/>
            <w:vAlign w:val="center"/>
          </w:tcPr>
          <w:p>
            <w:pPr>
              <w:ind w:firstLine="420" w:firstLineChars="200"/>
              <w:rPr>
                <w:rFonts w:hint="eastAsia" w:ascii="仿宋" w:hAnsi="仿宋" w:eastAsia="仿宋" w:cs="仿宋"/>
                <w:bCs/>
                <w:szCs w:val="21"/>
              </w:rPr>
            </w:pPr>
            <w:r>
              <w:rPr>
                <w:rFonts w:hint="eastAsia" w:ascii="仿宋" w:hAnsi="仿宋" w:eastAsia="仿宋" w:cs="仿宋"/>
                <w:bCs/>
                <w:szCs w:val="21"/>
              </w:rPr>
              <w:t>推进高素质意识形态教育队伍建设</w:t>
            </w:r>
          </w:p>
        </w:tc>
        <w:tc>
          <w:tcPr>
            <w:tcW w:w="3363" w:type="dxa"/>
            <w:vAlign w:val="center"/>
          </w:tcPr>
          <w:p>
            <w:pPr>
              <w:ind w:firstLine="420" w:firstLineChars="200"/>
              <w:rPr>
                <w:rFonts w:hint="eastAsia" w:ascii="仿宋" w:hAnsi="仿宋" w:eastAsia="仿宋" w:cs="仿宋"/>
                <w:bCs/>
                <w:szCs w:val="21"/>
              </w:rPr>
            </w:pPr>
            <w:r>
              <w:rPr>
                <w:rFonts w:hint="eastAsia" w:ascii="仿宋" w:hAnsi="仿宋" w:eastAsia="仿宋" w:cs="仿宋"/>
                <w:bCs/>
                <w:szCs w:val="21"/>
              </w:rPr>
              <w:t>持续推进教师思想政治教育和职业道德教育；严格按照要求配备建强专职思政课教师、辅导员队伍；“传帮带”“一对一”加强对青年思政教师的辅导；拓展课堂教学内容，加强思政课教学资源库建设，实施思政课精品课程建设计划；创新课堂教学方法；常态化推进辅导员进班级、下宿舍工作。</w:t>
            </w:r>
          </w:p>
        </w:tc>
        <w:tc>
          <w:tcPr>
            <w:tcW w:w="1559" w:type="dxa"/>
            <w:vAlign w:val="center"/>
          </w:tcPr>
          <w:p>
            <w:pPr>
              <w:ind w:firstLine="420" w:firstLineChars="200"/>
              <w:rPr>
                <w:rFonts w:hint="eastAsia" w:ascii="仿宋" w:hAnsi="仿宋" w:eastAsia="仿宋" w:cs="仿宋"/>
                <w:bCs/>
                <w:szCs w:val="21"/>
              </w:rPr>
            </w:pPr>
            <w:r>
              <w:rPr>
                <w:rFonts w:hint="eastAsia" w:ascii="仿宋" w:hAnsi="仿宋" w:eastAsia="仿宋" w:cs="仿宋"/>
                <w:bCs/>
                <w:szCs w:val="21"/>
              </w:rPr>
              <w:t>教务处、学生处、人事处、各二级学院</w:t>
            </w:r>
          </w:p>
        </w:tc>
      </w:tr>
    </w:tbl>
    <w:p/>
    <w:p>
      <w:pPr>
        <w:pStyle w:val="5"/>
        <w:ind w:firstLine="562"/>
      </w:pPr>
      <w:r>
        <w:rPr>
          <w:rFonts w:hint="eastAsia"/>
        </w:rPr>
        <w:t>（6）预期成效及资金测算</w:t>
      </w:r>
    </w:p>
    <w:tbl>
      <w:tblPr>
        <w:tblStyle w:val="16"/>
        <w:tblW w:w="8436" w:type="dxa"/>
        <w:jc w:val="center"/>
        <w:tblLayout w:type="fixed"/>
        <w:tblCellMar>
          <w:top w:w="15" w:type="dxa"/>
          <w:left w:w="15" w:type="dxa"/>
          <w:bottom w:w="15" w:type="dxa"/>
          <w:right w:w="15" w:type="dxa"/>
        </w:tblCellMar>
      </w:tblPr>
      <w:tblGrid>
        <w:gridCol w:w="928"/>
        <w:gridCol w:w="2114"/>
        <w:gridCol w:w="3063"/>
        <w:gridCol w:w="771"/>
        <w:gridCol w:w="755"/>
        <w:gridCol w:w="805"/>
      </w:tblGrid>
      <w:tr>
        <w:tblPrEx>
          <w:tblCellMar>
            <w:top w:w="15" w:type="dxa"/>
            <w:left w:w="15" w:type="dxa"/>
            <w:bottom w:w="15" w:type="dxa"/>
            <w:right w:w="15" w:type="dxa"/>
          </w:tblCellMar>
        </w:tblPrEx>
        <w:trPr>
          <w:trHeight w:val="301" w:hRule="atLeast"/>
          <w:jc w:val="center"/>
        </w:trPr>
        <w:tc>
          <w:tcPr>
            <w:tcW w:w="928" w:type="dxa"/>
            <w:vMerge w:val="restart"/>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项目名称</w:t>
            </w:r>
          </w:p>
        </w:tc>
        <w:tc>
          <w:tcPr>
            <w:tcW w:w="2114" w:type="dxa"/>
            <w:vMerge w:val="restart"/>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主要建设内容</w:t>
            </w:r>
          </w:p>
        </w:tc>
        <w:tc>
          <w:tcPr>
            <w:tcW w:w="3063" w:type="dxa"/>
            <w:vMerge w:val="restart"/>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预期建设成效</w:t>
            </w:r>
          </w:p>
        </w:tc>
        <w:tc>
          <w:tcPr>
            <w:tcW w:w="2331" w:type="dxa"/>
            <w:gridSpan w:val="3"/>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建设资金安排表（万元）</w:t>
            </w:r>
          </w:p>
        </w:tc>
      </w:tr>
      <w:tr>
        <w:tblPrEx>
          <w:tblCellMar>
            <w:top w:w="15" w:type="dxa"/>
            <w:left w:w="15" w:type="dxa"/>
            <w:bottom w:w="15" w:type="dxa"/>
            <w:right w:w="15" w:type="dxa"/>
          </w:tblCellMar>
        </w:tblPrEx>
        <w:trPr>
          <w:trHeight w:val="286" w:hRule="atLeast"/>
          <w:jc w:val="center"/>
        </w:trPr>
        <w:tc>
          <w:tcPr>
            <w:tcW w:w="928" w:type="dxa"/>
            <w:vMerge w:val="continue"/>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rPr>
            </w:pPr>
          </w:p>
        </w:tc>
        <w:tc>
          <w:tcPr>
            <w:tcW w:w="2114" w:type="dxa"/>
            <w:vMerge w:val="continue"/>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rPr>
            </w:pPr>
          </w:p>
        </w:tc>
        <w:tc>
          <w:tcPr>
            <w:tcW w:w="3063" w:type="dxa"/>
            <w:vMerge w:val="continue"/>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rPr>
            </w:pPr>
          </w:p>
        </w:tc>
        <w:tc>
          <w:tcPr>
            <w:tcW w:w="771" w:type="dxa"/>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2023年</w:t>
            </w:r>
          </w:p>
        </w:tc>
        <w:tc>
          <w:tcPr>
            <w:tcW w:w="755" w:type="dxa"/>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2024年</w:t>
            </w:r>
          </w:p>
        </w:tc>
        <w:tc>
          <w:tcPr>
            <w:tcW w:w="805" w:type="dxa"/>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2025年</w:t>
            </w:r>
          </w:p>
        </w:tc>
      </w:tr>
      <w:tr>
        <w:tblPrEx>
          <w:tblCellMar>
            <w:top w:w="15" w:type="dxa"/>
            <w:left w:w="15" w:type="dxa"/>
            <w:bottom w:w="15" w:type="dxa"/>
            <w:right w:w="15" w:type="dxa"/>
          </w:tblCellMar>
        </w:tblPrEx>
        <w:trPr>
          <w:trHeight w:val="450" w:hRule="atLeast"/>
          <w:jc w:val="center"/>
        </w:trPr>
        <w:tc>
          <w:tcPr>
            <w:tcW w:w="928"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仿宋" w:hAnsi="仿宋" w:eastAsia="仿宋" w:cs="仿宋"/>
                <w:b/>
                <w:bCs/>
                <w:color w:val="000000"/>
                <w:kern w:val="0"/>
                <w:szCs w:val="21"/>
              </w:rPr>
              <w:t>意识形态阵地建设项目</w:t>
            </w:r>
          </w:p>
        </w:tc>
        <w:tc>
          <w:tcPr>
            <w:tcW w:w="2114" w:type="dxa"/>
            <w:tcBorders>
              <w:top w:val="single" w:color="000000" w:sz="4" w:space="0"/>
              <w:left w:val="single" w:color="000000" w:sz="4" w:space="0"/>
              <w:bottom w:val="single" w:color="000000" w:sz="4" w:space="0"/>
              <w:right w:val="single" w:color="000000" w:sz="4" w:space="0"/>
            </w:tcBorders>
            <w:vAlign w:val="center"/>
          </w:tcPr>
          <w:p>
            <w:pPr>
              <w:ind w:firstLine="420" w:firstLineChars="200"/>
              <w:rPr>
                <w:rFonts w:hint="eastAsia" w:ascii="仿宋" w:hAnsi="仿宋" w:eastAsia="仿宋" w:cs="仿宋"/>
                <w:bCs/>
                <w:szCs w:val="21"/>
              </w:rPr>
            </w:pPr>
            <w:r>
              <w:rPr>
                <w:rFonts w:hint="eastAsia" w:ascii="仿宋" w:hAnsi="仿宋" w:eastAsia="仿宋" w:cs="仿宋"/>
                <w:bCs/>
                <w:szCs w:val="21"/>
              </w:rPr>
              <w:t>发挥马克思主义理论学科引领作用，加强网络意识形态阵地建设管理，推进高素质意识形态教育队伍建设，推进高素质意识形态教育队伍建设，创建广东省高校“三全育人”体制机制建设试点单位。</w:t>
            </w:r>
          </w:p>
        </w:tc>
        <w:tc>
          <w:tcPr>
            <w:tcW w:w="3063" w:type="dxa"/>
            <w:tcBorders>
              <w:top w:val="single" w:color="000000" w:sz="4" w:space="0"/>
              <w:left w:val="single" w:color="000000" w:sz="4" w:space="0"/>
              <w:bottom w:val="single" w:color="000000" w:sz="4" w:space="0"/>
              <w:right w:val="single" w:color="000000" w:sz="4" w:space="0"/>
            </w:tcBorders>
            <w:vAlign w:val="center"/>
          </w:tcPr>
          <w:p>
            <w:pPr>
              <w:ind w:firstLine="420" w:firstLineChars="200"/>
              <w:rPr>
                <w:rFonts w:hint="eastAsia" w:ascii="仿宋" w:hAnsi="仿宋" w:eastAsia="仿宋" w:cs="仿宋"/>
                <w:bCs/>
                <w:szCs w:val="21"/>
              </w:rPr>
            </w:pPr>
            <w:r>
              <w:rPr>
                <w:rFonts w:hint="eastAsia" w:ascii="仿宋" w:hAnsi="仿宋" w:eastAsia="仿宋" w:cs="仿宋"/>
                <w:bCs/>
                <w:szCs w:val="21"/>
              </w:rPr>
              <w:t>全面落实学校意识形态工作责任制，打造一批“思政课程”和“课程思政”精品课程，努力推进全员全过程全方位育人，在建设好惠州市“三全育人”学校和惠州市“立德树人”校园新时代文明实践基地基础上，创建广东省高校“三全育人”体制机制建设试点单位。</w:t>
            </w:r>
          </w:p>
          <w:p>
            <w:pPr>
              <w:ind w:firstLine="420" w:firstLineChars="200"/>
              <w:rPr>
                <w:rFonts w:hint="eastAsia" w:ascii="仿宋" w:hAnsi="仿宋" w:eastAsia="仿宋" w:cs="仿宋"/>
                <w:bCs/>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bCs/>
                <w:szCs w:val="21"/>
              </w:rPr>
            </w:pPr>
            <w:r>
              <w:rPr>
                <w:rFonts w:hint="eastAsia" w:ascii="仿宋" w:hAnsi="仿宋" w:eastAsia="仿宋" w:cs="仿宋"/>
                <w:bCs/>
                <w:szCs w:val="21"/>
              </w:rPr>
              <w:t>10</w:t>
            </w:r>
          </w:p>
        </w:tc>
        <w:tc>
          <w:tcPr>
            <w:tcW w:w="75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bCs/>
                <w:szCs w:val="21"/>
              </w:rPr>
            </w:pPr>
            <w:r>
              <w:rPr>
                <w:rFonts w:hint="eastAsia" w:ascii="仿宋" w:hAnsi="仿宋" w:eastAsia="仿宋" w:cs="仿宋"/>
                <w:bCs/>
                <w:szCs w:val="21"/>
              </w:rPr>
              <w:t>10</w:t>
            </w:r>
          </w:p>
        </w:tc>
        <w:tc>
          <w:tcPr>
            <w:tcW w:w="80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bCs/>
                <w:szCs w:val="21"/>
              </w:rPr>
            </w:pPr>
            <w:r>
              <w:rPr>
                <w:rFonts w:hint="eastAsia" w:ascii="仿宋" w:hAnsi="仿宋" w:eastAsia="仿宋" w:cs="仿宋"/>
                <w:bCs/>
                <w:szCs w:val="21"/>
              </w:rPr>
              <w:t>10</w:t>
            </w:r>
          </w:p>
        </w:tc>
      </w:tr>
    </w:tbl>
    <w:p/>
    <w:p>
      <w:pPr>
        <w:pStyle w:val="4"/>
      </w:pPr>
      <w:bookmarkStart w:id="25" w:name="_Toc164347828"/>
      <w:bookmarkStart w:id="26" w:name="_Toc16085"/>
      <w:r>
        <w:rPr>
          <w:rFonts w:hint="eastAsia"/>
        </w:rPr>
        <w:t>3.落实立德树人任务，实施“2+1”工程项目</w:t>
      </w:r>
      <w:bookmarkEnd w:id="25"/>
      <w:bookmarkEnd w:id="26"/>
    </w:p>
    <w:p>
      <w:pPr>
        <w:pStyle w:val="5"/>
        <w:ind w:firstLine="562"/>
      </w:pPr>
      <w:r>
        <w:rPr>
          <w:rFonts w:hint="eastAsia"/>
        </w:rPr>
        <w:t>（1）必要性和可行性</w:t>
      </w:r>
    </w:p>
    <w:p>
      <w:pPr>
        <w:spacing w:line="540" w:lineRule="exact"/>
        <w:ind w:firstLine="560" w:firstLineChars="200"/>
        <w:rPr>
          <w:rFonts w:ascii="仿宋" w:hAnsi="仿宋" w:eastAsia="仿宋"/>
          <w:sz w:val="28"/>
          <w:szCs w:val="28"/>
        </w:rPr>
      </w:pPr>
      <w:r>
        <w:rPr>
          <w:rFonts w:ascii="仿宋" w:hAnsi="仿宋" w:eastAsia="仿宋"/>
          <w:sz w:val="28"/>
          <w:szCs w:val="28"/>
        </w:rPr>
        <w:t>立德树人是教育的根本任务。新时代以来，党中央始终把德育放在突出位置。党的十八大把“立德树人”明确为教育的根本任务，党的十九大强调要“落实立德树人根本任务”。党的十九届四中全会从完善中国特色社会主义制度和推进国家治理现代化的高度，对完善立德树人体制机制提出了新的具体要求。党的二十大把全面贯彻党的教育方针、落实立德树人根本任务放在教育工作统领位置。</w:t>
      </w:r>
      <w:r>
        <w:rPr>
          <w:rFonts w:hint="eastAsia" w:ascii="仿宋" w:hAnsi="仿宋" w:eastAsia="仿宋"/>
          <w:sz w:val="28"/>
          <w:szCs w:val="28"/>
        </w:rPr>
        <w:t>2023年，</w:t>
      </w:r>
      <w:r>
        <w:rPr>
          <w:rFonts w:ascii="仿宋" w:hAnsi="仿宋" w:eastAsia="仿宋"/>
          <w:sz w:val="28"/>
          <w:szCs w:val="28"/>
        </w:rPr>
        <w:t>习近平总书记在中共中央政治局第五次集体学习时发表重要讲话指出，“以立德树人为根本任务，以为党育人、为国育才为根本目标，以服务中华民族伟大复兴为重要使命”，“培养什么人、怎样培养人、为谁培养人是教育的根本问题，也是建设教育强国的核心课题”。落实立德树人根本任务，是当前时代赋予学校的新使命新任务，也是学校的根本价值诉求与教育职责。</w:t>
      </w:r>
    </w:p>
    <w:p>
      <w:pPr>
        <w:spacing w:line="540" w:lineRule="exact"/>
        <w:ind w:firstLine="560" w:firstLineChars="200"/>
        <w:rPr>
          <w:rFonts w:ascii="仿宋" w:hAnsi="仿宋" w:eastAsia="仿宋"/>
          <w:sz w:val="28"/>
          <w:szCs w:val="28"/>
        </w:rPr>
      </w:pPr>
      <w:r>
        <w:rPr>
          <w:rFonts w:hint="eastAsia" w:ascii="仿宋" w:hAnsi="仿宋" w:eastAsia="仿宋"/>
          <w:sz w:val="28"/>
          <w:szCs w:val="28"/>
        </w:rPr>
        <w:t>学校始终紧紧围绕立德树人根本任务，坚持“产教融合、育训一体、德技并修、人人出彩”育人理念，不断整合和完善校内外教育教学资源</w:t>
      </w:r>
      <w:r>
        <w:rPr>
          <w:rFonts w:hint="eastAsia" w:ascii="仿宋" w:hAnsi="仿宋" w:eastAsia="仿宋"/>
          <w:sz w:val="28"/>
          <w:szCs w:val="28"/>
          <w:lang w:eastAsia="zh-CN"/>
        </w:rPr>
        <w:t>，</w:t>
      </w:r>
      <w:r>
        <w:rPr>
          <w:rFonts w:hint="eastAsia" w:ascii="仿宋" w:hAnsi="仿宋" w:eastAsia="仿宋"/>
          <w:sz w:val="28"/>
          <w:szCs w:val="28"/>
        </w:rPr>
        <w:t>大力实施“铸魂育人”“数字树人”工程，努力构建“五维全才”体系，已初步构建起落实立德树人根本任务新生态新格局</w:t>
      </w:r>
    </w:p>
    <w:p>
      <w:pPr>
        <w:keepNext/>
        <w:keepLines/>
        <w:spacing w:line="540" w:lineRule="exact"/>
        <w:ind w:firstLine="562" w:firstLineChars="200"/>
        <w:outlineLvl w:val="3"/>
        <w:rPr>
          <w:rFonts w:ascii="Times New Roman" w:hAnsi="Times New Roman" w:eastAsia="仿宋"/>
          <w:b/>
          <w:sz w:val="28"/>
          <w:szCs w:val="28"/>
        </w:rPr>
      </w:pPr>
      <w:r>
        <w:rPr>
          <w:rFonts w:hint="eastAsia" w:ascii="Times New Roman" w:hAnsi="Times New Roman" w:eastAsia="仿宋"/>
          <w:b/>
          <w:sz w:val="28"/>
          <w:szCs w:val="28"/>
        </w:rPr>
        <w:t>（2）拟解决的关键问题</w:t>
      </w:r>
    </w:p>
    <w:p>
      <w:pPr>
        <w:spacing w:line="540" w:lineRule="exact"/>
        <w:ind w:firstLine="560" w:firstLineChars="200"/>
        <w:rPr>
          <w:rFonts w:ascii="仿宋" w:hAnsi="仿宋" w:eastAsia="仿宋"/>
          <w:sz w:val="28"/>
          <w:szCs w:val="28"/>
        </w:rPr>
      </w:pPr>
      <w:r>
        <w:rPr>
          <w:rFonts w:ascii="仿宋" w:hAnsi="仿宋" w:eastAsia="仿宋"/>
          <w:sz w:val="28"/>
          <w:szCs w:val="28"/>
        </w:rPr>
        <w:t>坚持把推动习近平新时代中国特色社会主义思想进教材、进课堂、进头脑摆在突出位置，聚焦教学主体、教学内容、教学机制，推进 “铸魂育人”工程，构建习近平新时代中国特色社会主义思想学、思、践、悟、行的链条，形成“三进”合力</w:t>
      </w:r>
      <w:r>
        <w:rPr>
          <w:rFonts w:hint="eastAsia" w:ascii="仿宋" w:hAnsi="仿宋" w:eastAsia="仿宋"/>
          <w:sz w:val="28"/>
          <w:szCs w:val="28"/>
        </w:rPr>
        <w:t>；</w:t>
      </w:r>
      <w:r>
        <w:rPr>
          <w:rFonts w:ascii="仿宋" w:hAnsi="仿宋" w:eastAsia="仿宋"/>
          <w:sz w:val="28"/>
          <w:szCs w:val="28"/>
        </w:rPr>
        <w:t>围绕立德树人根本任务，构建“三全育人”新格局，实现育人资源共享、育人力量汇聚，打造“三全育人”</w:t>
      </w:r>
      <w:r>
        <w:rPr>
          <w:rFonts w:hint="eastAsia" w:ascii="仿宋" w:hAnsi="仿宋" w:eastAsia="仿宋"/>
          <w:sz w:val="28"/>
          <w:szCs w:val="28"/>
        </w:rPr>
        <w:t>惠工</w:t>
      </w:r>
      <w:r>
        <w:rPr>
          <w:rFonts w:ascii="仿宋" w:hAnsi="仿宋" w:eastAsia="仿宋"/>
          <w:sz w:val="28"/>
          <w:szCs w:val="28"/>
        </w:rPr>
        <w:t>范式</w:t>
      </w:r>
      <w:r>
        <w:rPr>
          <w:rFonts w:hint="eastAsia" w:ascii="仿宋" w:hAnsi="仿宋" w:eastAsia="仿宋"/>
          <w:sz w:val="28"/>
          <w:szCs w:val="28"/>
        </w:rPr>
        <w:t>；</w:t>
      </w:r>
      <w:r>
        <w:rPr>
          <w:rFonts w:ascii="仿宋" w:hAnsi="仿宋" w:eastAsia="仿宋"/>
          <w:sz w:val="28"/>
          <w:szCs w:val="28"/>
        </w:rPr>
        <w:t>落实“以学生为中心”理念，立足高职教育的人才培养定位和类型特征，把握高职“五育”的教育内涵和教育规律</w:t>
      </w:r>
      <w:r>
        <w:rPr>
          <w:rFonts w:hint="eastAsia" w:ascii="仿宋" w:hAnsi="仿宋" w:eastAsia="仿宋"/>
          <w:sz w:val="28"/>
          <w:szCs w:val="28"/>
        </w:rPr>
        <w:t>，</w:t>
      </w:r>
      <w:r>
        <w:rPr>
          <w:rFonts w:ascii="仿宋" w:hAnsi="仿宋" w:eastAsia="仿宋"/>
          <w:sz w:val="28"/>
          <w:szCs w:val="28"/>
        </w:rPr>
        <w:t>组建物理分散、逻辑集中的五大学生发展指导中心</w:t>
      </w:r>
      <w:r>
        <w:rPr>
          <w:rFonts w:hint="eastAsia" w:ascii="仿宋" w:hAnsi="仿宋" w:eastAsia="仿宋"/>
          <w:sz w:val="28"/>
          <w:szCs w:val="28"/>
        </w:rPr>
        <w:t>，培养</w:t>
      </w:r>
      <w:r>
        <w:rPr>
          <w:rFonts w:ascii="仿宋" w:hAnsi="仿宋" w:eastAsia="仿宋"/>
          <w:sz w:val="28"/>
          <w:szCs w:val="28"/>
        </w:rPr>
        <w:t>“五育并举”</w:t>
      </w:r>
      <w:r>
        <w:rPr>
          <w:rFonts w:hint="eastAsia" w:ascii="仿宋" w:hAnsi="仿宋" w:eastAsia="仿宋"/>
          <w:sz w:val="28"/>
          <w:szCs w:val="28"/>
        </w:rPr>
        <w:t>的</w:t>
      </w:r>
      <w:r>
        <w:rPr>
          <w:rFonts w:ascii="仿宋" w:hAnsi="仿宋" w:eastAsia="仿宋"/>
          <w:sz w:val="28"/>
          <w:szCs w:val="28"/>
        </w:rPr>
        <w:t>综合</w:t>
      </w:r>
      <w:r>
        <w:rPr>
          <w:rFonts w:hint="eastAsia" w:ascii="仿宋" w:hAnsi="仿宋" w:eastAsia="仿宋"/>
          <w:sz w:val="28"/>
          <w:szCs w:val="28"/>
        </w:rPr>
        <w:t>型</w:t>
      </w:r>
      <w:r>
        <w:rPr>
          <w:rFonts w:ascii="仿宋" w:hAnsi="仿宋" w:eastAsia="仿宋"/>
          <w:sz w:val="28"/>
          <w:szCs w:val="28"/>
        </w:rPr>
        <w:t>人才</w:t>
      </w:r>
      <w:r>
        <w:rPr>
          <w:rFonts w:hint="eastAsia" w:ascii="仿宋" w:hAnsi="仿宋" w:eastAsia="仿宋"/>
          <w:sz w:val="28"/>
          <w:szCs w:val="28"/>
        </w:rPr>
        <w:t>。</w:t>
      </w:r>
    </w:p>
    <w:p>
      <w:pPr>
        <w:keepNext/>
        <w:keepLines/>
        <w:spacing w:line="540" w:lineRule="exact"/>
        <w:ind w:firstLine="562" w:firstLineChars="200"/>
        <w:outlineLvl w:val="3"/>
        <w:rPr>
          <w:rFonts w:ascii="Times New Roman" w:hAnsi="Times New Roman" w:eastAsia="仿宋"/>
          <w:b/>
          <w:sz w:val="28"/>
          <w:szCs w:val="28"/>
        </w:rPr>
      </w:pPr>
      <w:r>
        <w:rPr>
          <w:rFonts w:hint="eastAsia" w:ascii="Times New Roman" w:hAnsi="Times New Roman" w:eastAsia="仿宋"/>
          <w:b/>
          <w:sz w:val="28"/>
          <w:szCs w:val="28"/>
        </w:rPr>
        <w:t>（3）建设目标</w:t>
      </w:r>
    </w:p>
    <w:p>
      <w:pPr>
        <w:spacing w:line="540" w:lineRule="exact"/>
        <w:ind w:firstLine="560" w:firstLineChars="200"/>
        <w:rPr>
          <w:rFonts w:ascii="仿宋" w:hAnsi="仿宋" w:eastAsia="仿宋"/>
          <w:sz w:val="28"/>
          <w:szCs w:val="28"/>
        </w:rPr>
      </w:pPr>
      <w:r>
        <w:rPr>
          <w:rFonts w:ascii="仿宋" w:hAnsi="仿宋" w:eastAsia="仿宋"/>
          <w:sz w:val="28"/>
          <w:szCs w:val="28"/>
        </w:rPr>
        <w:t>坚持党对学校事业的全面领导，以落实立德树人根本任务为目标，以理想信念教育和社会主义核心价值观教育为重点，推进“三全育人”综合改革试点，构建以思想政治素质为核心、以心理健康素质为基础、集文化素质、工匠精神和才艺能力等为一体的大学生素质发展体系，实现职业技能与职业精神培养高度融合，回答高校培养什么样的人、怎样培养人、为谁培养人的根本问题。</w:t>
      </w:r>
      <w:r>
        <w:rPr>
          <w:rFonts w:hint="eastAsia" w:ascii="仿宋" w:hAnsi="仿宋" w:eastAsia="仿宋"/>
          <w:sz w:val="28"/>
          <w:szCs w:val="28"/>
        </w:rPr>
        <w:t>实现</w:t>
      </w:r>
      <w:r>
        <w:rPr>
          <w:rFonts w:ascii="仿宋" w:hAnsi="仿宋" w:eastAsia="仿宋"/>
          <w:sz w:val="28"/>
          <w:szCs w:val="28"/>
        </w:rPr>
        <w:t>思政课程质量全面提升，课程思政建设全面深化，“</w:t>
      </w:r>
      <w:r>
        <w:rPr>
          <w:rFonts w:hint="eastAsia" w:ascii="仿宋" w:hAnsi="仿宋" w:eastAsia="仿宋"/>
          <w:sz w:val="28"/>
          <w:szCs w:val="28"/>
        </w:rPr>
        <w:t>数字育人</w:t>
      </w:r>
      <w:r>
        <w:rPr>
          <w:rFonts w:ascii="仿宋" w:hAnsi="仿宋" w:eastAsia="仿宋"/>
          <w:sz w:val="28"/>
          <w:szCs w:val="28"/>
        </w:rPr>
        <w:t>”三全育人体系全面运行</w:t>
      </w:r>
      <w:r>
        <w:rPr>
          <w:rFonts w:hint="eastAsia" w:ascii="仿宋" w:hAnsi="仿宋" w:eastAsia="仿宋"/>
          <w:sz w:val="28"/>
          <w:szCs w:val="28"/>
        </w:rPr>
        <w:t>，培养“五育并举”综合人才。</w:t>
      </w:r>
    </w:p>
    <w:p>
      <w:pPr>
        <w:keepNext/>
        <w:keepLines/>
        <w:spacing w:line="540" w:lineRule="exact"/>
        <w:ind w:firstLine="562" w:firstLineChars="200"/>
        <w:outlineLvl w:val="3"/>
        <w:rPr>
          <w:rFonts w:ascii="Times New Roman" w:hAnsi="Times New Roman" w:eastAsia="仿宋"/>
          <w:b/>
          <w:sz w:val="28"/>
          <w:szCs w:val="28"/>
        </w:rPr>
      </w:pPr>
      <w:r>
        <w:rPr>
          <w:rFonts w:hint="eastAsia" w:ascii="Times New Roman" w:hAnsi="Times New Roman" w:eastAsia="仿宋"/>
          <w:b/>
          <w:sz w:val="28"/>
          <w:szCs w:val="28"/>
        </w:rPr>
        <w:t>（4）重点建设任务</w:t>
      </w:r>
    </w:p>
    <w:p>
      <w:pPr>
        <w:spacing w:line="540" w:lineRule="exact"/>
        <w:ind w:firstLine="562" w:firstLineChars="200"/>
        <w:rPr>
          <w:rFonts w:ascii="仿宋" w:hAnsi="仿宋" w:eastAsia="仿宋"/>
          <w:b/>
          <w:bCs/>
          <w:sz w:val="28"/>
          <w:szCs w:val="28"/>
        </w:rPr>
      </w:pPr>
      <w:r>
        <w:rPr>
          <w:rFonts w:hint="eastAsia" w:ascii="仿宋" w:hAnsi="仿宋" w:eastAsia="仿宋"/>
          <w:b/>
          <w:bCs/>
          <w:sz w:val="28"/>
          <w:szCs w:val="28"/>
        </w:rPr>
        <w:t>①</w:t>
      </w:r>
      <w:r>
        <w:rPr>
          <w:rFonts w:ascii="仿宋" w:hAnsi="仿宋" w:eastAsia="仿宋"/>
          <w:b/>
          <w:bCs/>
          <w:sz w:val="28"/>
          <w:szCs w:val="28"/>
        </w:rPr>
        <w:t xml:space="preserve"> 实施“铸魂育人”工程，落实“三进”工作新要求 </w:t>
      </w:r>
    </w:p>
    <w:p>
      <w:pPr>
        <w:spacing w:line="540" w:lineRule="exact"/>
        <w:ind w:firstLine="562" w:firstLineChars="200"/>
        <w:rPr>
          <w:rFonts w:ascii="仿宋" w:hAnsi="仿宋" w:eastAsia="仿宋"/>
          <w:sz w:val="28"/>
          <w:szCs w:val="28"/>
        </w:rPr>
      </w:pPr>
      <w:r>
        <w:rPr>
          <w:rFonts w:ascii="仿宋" w:hAnsi="仿宋" w:eastAsia="仿宋"/>
          <w:b/>
          <w:bCs/>
          <w:sz w:val="28"/>
          <w:szCs w:val="28"/>
        </w:rPr>
        <w:t>精心准备，新思想进教材</w:t>
      </w:r>
      <w:r>
        <w:rPr>
          <w:rFonts w:hint="eastAsia" w:ascii="仿宋" w:hAnsi="仿宋" w:eastAsia="仿宋"/>
          <w:b/>
          <w:bCs/>
          <w:sz w:val="28"/>
          <w:szCs w:val="28"/>
        </w:rPr>
        <w:t>。</w:t>
      </w:r>
      <w:r>
        <w:rPr>
          <w:rFonts w:ascii="仿宋" w:hAnsi="仿宋" w:eastAsia="仿宋"/>
          <w:sz w:val="28"/>
          <w:szCs w:val="28"/>
        </w:rPr>
        <w:t>与</w:t>
      </w:r>
      <w:r>
        <w:rPr>
          <w:rFonts w:hint="eastAsia" w:ascii="仿宋" w:hAnsi="仿宋" w:eastAsia="仿宋"/>
          <w:sz w:val="28"/>
          <w:szCs w:val="28"/>
        </w:rPr>
        <w:t>惠州</w:t>
      </w:r>
      <w:r>
        <w:rPr>
          <w:rFonts w:ascii="仿宋" w:hAnsi="仿宋" w:eastAsia="仿宋"/>
          <w:sz w:val="28"/>
          <w:szCs w:val="28"/>
        </w:rPr>
        <w:t>市</w:t>
      </w:r>
      <w:r>
        <w:rPr>
          <w:rFonts w:hint="eastAsia" w:ascii="仿宋" w:hAnsi="仿宋" w:eastAsia="仿宋"/>
          <w:sz w:val="28"/>
          <w:szCs w:val="28"/>
        </w:rPr>
        <w:t>其他高职院校</w:t>
      </w:r>
      <w:r>
        <w:rPr>
          <w:rFonts w:ascii="仿宋" w:hAnsi="仿宋" w:eastAsia="仿宋"/>
          <w:sz w:val="28"/>
          <w:szCs w:val="28"/>
        </w:rPr>
        <w:t>共建马克思主义学院，组建“三进”团队。编制4门</w:t>
      </w:r>
      <w:r>
        <w:rPr>
          <w:rFonts w:hint="eastAsia" w:ascii="仿宋" w:hAnsi="仿宋" w:eastAsia="仿宋"/>
          <w:sz w:val="28"/>
          <w:szCs w:val="28"/>
        </w:rPr>
        <w:t>思政</w:t>
      </w:r>
      <w:r>
        <w:rPr>
          <w:rFonts w:ascii="仿宋" w:hAnsi="仿宋" w:eastAsia="仿宋"/>
          <w:sz w:val="28"/>
          <w:szCs w:val="28"/>
        </w:rPr>
        <w:t>课程“三进”教学指导方案，用好现有“马工程”全国统编教材，</w:t>
      </w:r>
      <w:r>
        <w:rPr>
          <w:rFonts w:hint="eastAsia" w:ascii="仿宋" w:hAnsi="仿宋" w:eastAsia="仿宋"/>
          <w:sz w:val="28"/>
          <w:szCs w:val="28"/>
        </w:rPr>
        <w:t>参与</w:t>
      </w:r>
      <w:r>
        <w:rPr>
          <w:rFonts w:ascii="仿宋" w:hAnsi="仿宋" w:eastAsia="仿宋"/>
          <w:sz w:val="28"/>
          <w:szCs w:val="28"/>
        </w:rPr>
        <w:t xml:space="preserve">编写“课程思政”校本教材，实现专业全覆盖；制作“三进”微课视频、课件，形成“精品教案、精品教材、精品微课、精品课件”系列，打造“三进”资源“中央厨房”。 </w:t>
      </w:r>
    </w:p>
    <w:p>
      <w:pPr>
        <w:spacing w:line="540" w:lineRule="exact"/>
        <w:ind w:firstLine="562" w:firstLineChars="200"/>
        <w:rPr>
          <w:rFonts w:ascii="仿宋" w:hAnsi="仿宋" w:eastAsia="仿宋"/>
          <w:sz w:val="28"/>
          <w:szCs w:val="28"/>
        </w:rPr>
      </w:pPr>
      <w:r>
        <w:rPr>
          <w:rFonts w:ascii="仿宋" w:hAnsi="仿宋" w:eastAsia="仿宋"/>
          <w:b/>
          <w:bCs/>
          <w:sz w:val="28"/>
          <w:szCs w:val="28"/>
        </w:rPr>
        <w:t>多渠并进，新思想进课堂</w:t>
      </w:r>
      <w:r>
        <w:rPr>
          <w:rFonts w:hint="eastAsia" w:ascii="仿宋" w:hAnsi="仿宋" w:eastAsia="仿宋"/>
          <w:b/>
          <w:bCs/>
          <w:sz w:val="28"/>
          <w:szCs w:val="28"/>
        </w:rPr>
        <w:t>。</w:t>
      </w:r>
      <w:r>
        <w:rPr>
          <w:rFonts w:hint="eastAsia" w:ascii="仿宋" w:hAnsi="仿宋" w:eastAsia="仿宋"/>
          <w:sz w:val="28"/>
          <w:szCs w:val="28"/>
        </w:rPr>
        <w:t>建设</w:t>
      </w:r>
      <w:r>
        <w:rPr>
          <w:rFonts w:ascii="仿宋" w:hAnsi="仿宋" w:eastAsia="仿宋"/>
          <w:sz w:val="28"/>
          <w:szCs w:val="28"/>
        </w:rPr>
        <w:t>思政课VR沉浸式红色资源平台；创建“红色薪传” 思政品牌，开展“平语近人”经典诵读等主题活动；开设“时习之”在线学习专栏，打造指尖上的</w:t>
      </w:r>
      <w:r>
        <w:rPr>
          <w:rFonts w:hint="eastAsia" w:ascii="仿宋" w:hAnsi="仿宋" w:eastAsia="仿宋"/>
          <w:sz w:val="28"/>
          <w:szCs w:val="28"/>
        </w:rPr>
        <w:t>“</w:t>
      </w:r>
      <w:r>
        <w:rPr>
          <w:rFonts w:ascii="仿宋" w:hAnsi="仿宋" w:eastAsia="仿宋"/>
          <w:sz w:val="28"/>
          <w:szCs w:val="28"/>
        </w:rPr>
        <w:t>学习社”；建设“新芽”文明实践中心，开展社会实践和志愿服务。实施“个十百千”项目，培育1名</w:t>
      </w:r>
      <w:r>
        <w:rPr>
          <w:rFonts w:hint="eastAsia" w:ascii="仿宋" w:hAnsi="仿宋" w:eastAsia="仿宋"/>
          <w:sz w:val="28"/>
          <w:szCs w:val="28"/>
        </w:rPr>
        <w:t>省级</w:t>
      </w:r>
      <w:r>
        <w:rPr>
          <w:rFonts w:ascii="仿宋" w:hAnsi="仿宋" w:eastAsia="仿宋"/>
          <w:sz w:val="28"/>
          <w:szCs w:val="28"/>
        </w:rPr>
        <w:t xml:space="preserve">高校思想政治理论课年度影响力人物、10名校级思政课程教学名师、100名课程思政教学骨干、1000名思政课学习标兵，开展“三巡”工作。 </w:t>
      </w:r>
    </w:p>
    <w:p>
      <w:pPr>
        <w:spacing w:line="540" w:lineRule="exact"/>
        <w:ind w:firstLine="562" w:firstLineChars="200"/>
        <w:rPr>
          <w:rFonts w:ascii="仿宋" w:hAnsi="仿宋" w:eastAsia="仿宋"/>
          <w:sz w:val="28"/>
          <w:szCs w:val="28"/>
        </w:rPr>
      </w:pPr>
      <w:r>
        <w:rPr>
          <w:rFonts w:ascii="仿宋" w:hAnsi="仿宋" w:eastAsia="仿宋"/>
          <w:b/>
          <w:bCs/>
          <w:sz w:val="28"/>
          <w:szCs w:val="28"/>
        </w:rPr>
        <w:t>巧妙呈现，新思想进头脑</w:t>
      </w:r>
      <w:r>
        <w:rPr>
          <w:rFonts w:hint="eastAsia" w:ascii="仿宋" w:hAnsi="仿宋" w:eastAsia="仿宋"/>
          <w:b/>
          <w:bCs/>
          <w:sz w:val="28"/>
          <w:szCs w:val="28"/>
        </w:rPr>
        <w:t>。</w:t>
      </w:r>
      <w:r>
        <w:rPr>
          <w:rFonts w:ascii="仿宋" w:hAnsi="仿宋" w:eastAsia="仿宋"/>
          <w:sz w:val="28"/>
          <w:szCs w:val="28"/>
        </w:rPr>
        <w:t>全力打造“1234”学习项目，重点培育</w:t>
      </w:r>
      <w:r>
        <w:rPr>
          <w:rFonts w:hint="eastAsia" w:ascii="仿宋" w:hAnsi="仿宋" w:eastAsia="仿宋"/>
          <w:sz w:val="28"/>
          <w:szCs w:val="28"/>
        </w:rPr>
        <w:t>“</w:t>
      </w:r>
      <w:r>
        <w:rPr>
          <w:rFonts w:ascii="仿宋" w:hAnsi="仿宋" w:eastAsia="仿宋"/>
          <w:sz w:val="28"/>
          <w:szCs w:val="28"/>
        </w:rPr>
        <w:t>青年学习”研究会1个理论社团，着力打造“3月志愿服务”“9 月入学教育”2个新思想主题教育实践月，创新实施“青听习语”“青锋讲习”“青春践习”3大学习实践活动，全面开展“领导干部上讲台”“先锋讲坛”“道德讲堂”“青春讲坛”4讲活动。每年开展专题学习教育10次、主题实践活动20场、各层次宣讲活动50场。通过全面实施“1234”学习项目，广泛凝聚青年，真正实现习近平新时代中国特色社会主义思想入脑、入心、铸魂、化行。</w:t>
      </w:r>
    </w:p>
    <w:p>
      <w:pPr>
        <w:spacing w:line="540" w:lineRule="exact"/>
        <w:ind w:firstLine="562" w:firstLineChars="200"/>
        <w:rPr>
          <w:rFonts w:ascii="仿宋" w:hAnsi="仿宋" w:eastAsia="仿宋"/>
          <w:b/>
          <w:bCs/>
          <w:sz w:val="28"/>
          <w:szCs w:val="28"/>
        </w:rPr>
      </w:pPr>
      <w:r>
        <w:rPr>
          <w:rFonts w:hint="eastAsia" w:ascii="仿宋" w:hAnsi="仿宋" w:eastAsia="仿宋"/>
          <w:b/>
          <w:bCs/>
          <w:sz w:val="28"/>
          <w:szCs w:val="28"/>
        </w:rPr>
        <w:t>②</w:t>
      </w:r>
      <w:r>
        <w:rPr>
          <w:rFonts w:ascii="仿宋" w:hAnsi="仿宋" w:eastAsia="仿宋"/>
          <w:b/>
          <w:bCs/>
          <w:sz w:val="28"/>
          <w:szCs w:val="28"/>
        </w:rPr>
        <w:t xml:space="preserve"> 实施“</w:t>
      </w:r>
      <w:r>
        <w:rPr>
          <w:rFonts w:hint="eastAsia" w:ascii="仿宋" w:hAnsi="仿宋" w:eastAsia="仿宋"/>
          <w:b/>
          <w:bCs/>
          <w:sz w:val="28"/>
          <w:szCs w:val="28"/>
        </w:rPr>
        <w:t>数字</w:t>
      </w:r>
      <w:r>
        <w:rPr>
          <w:rFonts w:ascii="仿宋" w:hAnsi="仿宋" w:eastAsia="仿宋"/>
          <w:b/>
          <w:bCs/>
          <w:sz w:val="28"/>
          <w:szCs w:val="28"/>
        </w:rPr>
        <w:t xml:space="preserve">树人”工程，形成“三全育人”新格局 </w:t>
      </w:r>
    </w:p>
    <w:p>
      <w:pPr>
        <w:spacing w:line="540" w:lineRule="exact"/>
        <w:ind w:firstLine="562" w:firstLineChars="200"/>
        <w:rPr>
          <w:rFonts w:ascii="仿宋" w:hAnsi="仿宋" w:eastAsia="仿宋"/>
          <w:sz w:val="28"/>
          <w:szCs w:val="28"/>
        </w:rPr>
      </w:pPr>
      <w:r>
        <w:rPr>
          <w:rFonts w:ascii="仿宋" w:hAnsi="仿宋" w:eastAsia="仿宋"/>
          <w:b/>
          <w:bCs/>
          <w:sz w:val="28"/>
          <w:szCs w:val="28"/>
        </w:rPr>
        <w:t>创新基于互联网+</w:t>
      </w:r>
      <w:r>
        <w:rPr>
          <w:rFonts w:hint="eastAsia" w:ascii="仿宋" w:hAnsi="仿宋" w:eastAsia="仿宋"/>
          <w:b/>
          <w:bCs/>
          <w:sz w:val="28"/>
          <w:szCs w:val="28"/>
        </w:rPr>
        <w:t>的“数字</w:t>
      </w:r>
      <w:r>
        <w:rPr>
          <w:rFonts w:ascii="仿宋" w:hAnsi="仿宋" w:eastAsia="仿宋"/>
          <w:b/>
          <w:bCs/>
          <w:sz w:val="28"/>
          <w:szCs w:val="28"/>
        </w:rPr>
        <w:t>育人”模式。</w:t>
      </w:r>
      <w:r>
        <w:rPr>
          <w:rFonts w:ascii="仿宋" w:hAnsi="仿宋" w:eastAsia="仿宋"/>
          <w:sz w:val="28"/>
          <w:szCs w:val="28"/>
        </w:rPr>
        <w:t>基于校内校外、课内课外、线上线下的</w:t>
      </w:r>
      <w:r>
        <w:rPr>
          <w:rFonts w:hint="eastAsia" w:ascii="仿宋" w:hAnsi="仿宋" w:eastAsia="仿宋"/>
          <w:sz w:val="28"/>
          <w:szCs w:val="28"/>
        </w:rPr>
        <w:t>学习通</w:t>
      </w:r>
      <w:r>
        <w:rPr>
          <w:rFonts w:ascii="仿宋" w:hAnsi="仿宋" w:eastAsia="仿宋"/>
          <w:sz w:val="28"/>
          <w:szCs w:val="28"/>
        </w:rPr>
        <w:t>云课堂，实现全方位育人；基于学生在校三年学习成长记录的智慧学工平台，实现全过程育人；基于网上事务大厅，构建大学生数据中心，实现教务、财务、人事、学生、科研等全业务系统互联互通，实现全员育人。</w:t>
      </w:r>
      <w:r>
        <w:rPr>
          <w:rFonts w:hint="eastAsia" w:ascii="仿宋" w:hAnsi="仿宋" w:eastAsia="仿宋"/>
          <w:sz w:val="28"/>
          <w:szCs w:val="28"/>
        </w:rPr>
        <w:t>建设</w:t>
      </w:r>
      <w:r>
        <w:rPr>
          <w:rFonts w:ascii="仿宋" w:hAnsi="仿宋" w:eastAsia="仿宋"/>
          <w:sz w:val="28"/>
          <w:szCs w:val="28"/>
        </w:rPr>
        <w:t xml:space="preserve">学生发展诊改平台，实施学生发展“成长工程”，定期发布《学生成长质量报告》。  </w:t>
      </w:r>
    </w:p>
    <w:p>
      <w:pPr>
        <w:spacing w:line="540" w:lineRule="exact"/>
        <w:ind w:firstLine="562" w:firstLineChars="200"/>
        <w:rPr>
          <w:rFonts w:ascii="仿宋" w:hAnsi="仿宋" w:eastAsia="仿宋"/>
          <w:sz w:val="28"/>
          <w:szCs w:val="28"/>
        </w:rPr>
      </w:pPr>
      <w:r>
        <w:rPr>
          <w:rFonts w:ascii="仿宋" w:hAnsi="仿宋" w:eastAsia="仿宋"/>
          <w:b/>
          <w:bCs/>
          <w:sz w:val="28"/>
          <w:szCs w:val="28"/>
        </w:rPr>
        <w:t>深化思政课改革。</w:t>
      </w:r>
      <w:r>
        <w:rPr>
          <w:rFonts w:ascii="仿宋" w:hAnsi="仿宋" w:eastAsia="仿宋"/>
          <w:sz w:val="28"/>
          <w:szCs w:val="28"/>
        </w:rPr>
        <w:t>依托马克思主义学院，深化思政课堂教学改革，以实用、适用为原则，整合课程内容，及时吸收和融入最新内容，构建系统灵活的内容体系；以高职人才能力培养为主线，完善课程标准，完成院级资源库以及精品课程建设。强化思政实践教学</w:t>
      </w:r>
      <w:r>
        <w:rPr>
          <w:rFonts w:hint="eastAsia" w:ascii="仿宋" w:hAnsi="仿宋" w:eastAsia="仿宋"/>
          <w:sz w:val="28"/>
          <w:szCs w:val="28"/>
        </w:rPr>
        <w:t>，</w:t>
      </w:r>
      <w:r>
        <w:rPr>
          <w:rFonts w:ascii="仿宋" w:hAnsi="仿宋" w:eastAsia="仿宋"/>
          <w:sz w:val="28"/>
          <w:szCs w:val="28"/>
        </w:rPr>
        <w:t>利用周末、寒暑假引导学生走出校门、深入群众、深入实际，开展理论宣传、红色之旅、社会调查、志愿服务、公益活动、专业课实习等；强化教学实践环节，建立一整套实践教学制度与文件，实现实践教学课程化。</w:t>
      </w:r>
    </w:p>
    <w:p>
      <w:pPr>
        <w:spacing w:line="540" w:lineRule="exact"/>
        <w:ind w:firstLine="562" w:firstLineChars="200"/>
        <w:rPr>
          <w:rFonts w:ascii="仿宋" w:hAnsi="仿宋" w:eastAsia="仿宋"/>
          <w:sz w:val="28"/>
          <w:szCs w:val="28"/>
        </w:rPr>
      </w:pPr>
      <w:r>
        <w:rPr>
          <w:rFonts w:hint="eastAsia" w:ascii="仿宋" w:hAnsi="仿宋" w:eastAsia="仿宋"/>
          <w:b/>
          <w:bCs/>
          <w:sz w:val="28"/>
          <w:szCs w:val="28"/>
        </w:rPr>
        <w:t>推进课程思政协同</w:t>
      </w:r>
      <w:r>
        <w:rPr>
          <w:rFonts w:ascii="仿宋" w:hAnsi="仿宋" w:eastAsia="仿宋"/>
          <w:b/>
          <w:bCs/>
          <w:sz w:val="28"/>
          <w:szCs w:val="28"/>
        </w:rPr>
        <w:t>。</w:t>
      </w:r>
      <w:r>
        <w:rPr>
          <w:rFonts w:ascii="仿宋" w:hAnsi="仿宋" w:eastAsia="仿宋"/>
          <w:sz w:val="28"/>
          <w:szCs w:val="28"/>
        </w:rPr>
        <w:t>成立课程思政</w:t>
      </w:r>
      <w:r>
        <w:rPr>
          <w:rFonts w:hint="eastAsia" w:ascii="仿宋" w:hAnsi="仿宋" w:eastAsia="仿宋"/>
          <w:sz w:val="28"/>
          <w:szCs w:val="28"/>
        </w:rPr>
        <w:t>研究中心，</w:t>
      </w:r>
      <w:r>
        <w:rPr>
          <w:rFonts w:ascii="仿宋" w:hAnsi="仿宋" w:eastAsia="仿宋"/>
          <w:sz w:val="28"/>
          <w:szCs w:val="28"/>
        </w:rPr>
        <w:t>推进课程思政研究，挖掘各专业课程和通识课程中蕴涵的思政教育元素，分批推进课程思政专项建设，建设课程思政资源库；构建课程思政教学体系和评价体系，推进课程思政教学改革试点，各专业遴选3门以上的课程建设课程思政课示范课，实现课程思政与思政课程的有机融合。</w:t>
      </w:r>
    </w:p>
    <w:p>
      <w:pPr>
        <w:spacing w:line="540" w:lineRule="exact"/>
        <w:ind w:firstLine="562" w:firstLineChars="200"/>
        <w:rPr>
          <w:rFonts w:ascii="仿宋" w:hAnsi="仿宋" w:eastAsia="仿宋"/>
          <w:sz w:val="28"/>
          <w:szCs w:val="28"/>
        </w:rPr>
      </w:pPr>
      <w:r>
        <w:rPr>
          <w:rFonts w:ascii="仿宋" w:hAnsi="仿宋" w:eastAsia="仿宋"/>
          <w:b/>
          <w:bCs/>
          <w:sz w:val="28"/>
          <w:szCs w:val="28"/>
        </w:rPr>
        <w:t>推进科研、实践、网络育人。</w:t>
      </w:r>
      <w:r>
        <w:rPr>
          <w:rFonts w:ascii="仿宋" w:hAnsi="仿宋" w:eastAsia="仿宋"/>
          <w:sz w:val="28"/>
          <w:szCs w:val="28"/>
        </w:rPr>
        <w:t xml:space="preserve">改进科研环节和程序，在科研全过程中融入思想价值引领；指导教师围绕思想政治领域中的热点与难点问题开展课题研究；把思想政治表现作为组建科研团队的底线要求。整合实践资源，拓展实践平台，依托高新区、社区、农村乡镇、企业、爱国主义教育场所等，建立多种形式的社会实践、创业实习基地。大力推进网络教育，加强校园网络文化建设与管理，推动思想政治工作传统优势同信息技术高度融合，传播主旋律、弘扬正能量，守护好网络精神家园。 </w:t>
      </w:r>
    </w:p>
    <w:p>
      <w:pPr>
        <w:spacing w:line="540" w:lineRule="exact"/>
        <w:ind w:firstLine="562" w:firstLineChars="200"/>
        <w:rPr>
          <w:rFonts w:ascii="仿宋" w:hAnsi="仿宋" w:eastAsia="仿宋"/>
          <w:sz w:val="28"/>
          <w:szCs w:val="28"/>
        </w:rPr>
      </w:pPr>
      <w:r>
        <w:rPr>
          <w:rFonts w:ascii="仿宋" w:hAnsi="仿宋" w:eastAsia="仿宋"/>
          <w:b/>
          <w:bCs/>
          <w:sz w:val="28"/>
          <w:szCs w:val="28"/>
        </w:rPr>
        <w:t>推进心理、管理、服务育人。</w:t>
      </w:r>
      <w:r>
        <w:rPr>
          <w:rFonts w:ascii="仿宋" w:hAnsi="仿宋" w:eastAsia="仿宋"/>
          <w:sz w:val="28"/>
          <w:szCs w:val="28"/>
        </w:rPr>
        <w:t>加强知识教育，把心理健康教育课程纳入学校整体教学计划，选用大学生心理健康教育示范教材或自编校本教材</w:t>
      </w:r>
      <w:r>
        <w:rPr>
          <w:rFonts w:hint="eastAsia" w:ascii="仿宋" w:hAnsi="仿宋" w:eastAsia="仿宋"/>
          <w:sz w:val="28"/>
          <w:szCs w:val="28"/>
        </w:rPr>
        <w:t>，创新探索《</w:t>
      </w:r>
      <w:r>
        <w:rPr>
          <w:rFonts w:ascii="仿宋" w:hAnsi="仿宋" w:eastAsia="仿宋"/>
          <w:sz w:val="28"/>
          <w:szCs w:val="28"/>
        </w:rPr>
        <w:t>大学生心理健康》等课程</w:t>
      </w:r>
      <w:r>
        <w:rPr>
          <w:rFonts w:hint="eastAsia" w:ascii="仿宋" w:hAnsi="仿宋" w:eastAsia="仿宋"/>
          <w:sz w:val="28"/>
          <w:szCs w:val="28"/>
        </w:rPr>
        <w:t>改革</w:t>
      </w:r>
      <w:r>
        <w:rPr>
          <w:rFonts w:ascii="仿宋" w:hAnsi="仿宋" w:eastAsia="仿宋"/>
          <w:sz w:val="28"/>
          <w:szCs w:val="28"/>
        </w:rPr>
        <w:t xml:space="preserve">，实现心理健康知识教育全覆盖。结合学校章程、制度、自律 公约修订完善，研究梳理各管理岗位的育人元素，编制岗位说明书，明确管理育人的内容和路径，丰富完善不同岗位、不同群体公约体系，引导师生培育自觉、强化自律。 研究梳理各类服务岗位所承载的育人功能，并作为工作的职责要求，体现在聘用、培训、考核等各环节；落实服务目标责任制，把服务质量和育人效果作为评价服务岗位效能的依据和标准。 </w:t>
      </w:r>
    </w:p>
    <w:p>
      <w:pPr>
        <w:spacing w:line="540" w:lineRule="exact"/>
        <w:ind w:firstLine="562" w:firstLineChars="200"/>
        <w:rPr>
          <w:rFonts w:ascii="仿宋" w:hAnsi="仿宋" w:eastAsia="仿宋"/>
          <w:b/>
          <w:bCs/>
          <w:sz w:val="28"/>
          <w:szCs w:val="28"/>
        </w:rPr>
      </w:pPr>
      <w:r>
        <w:rPr>
          <w:rFonts w:hint="eastAsia" w:ascii="仿宋" w:hAnsi="仿宋" w:eastAsia="仿宋"/>
          <w:b/>
          <w:bCs/>
          <w:sz w:val="28"/>
          <w:szCs w:val="28"/>
        </w:rPr>
        <w:t>③构建“五维全才”体系，培养</w:t>
      </w:r>
      <w:r>
        <w:rPr>
          <w:rFonts w:ascii="仿宋" w:hAnsi="仿宋" w:eastAsia="仿宋"/>
          <w:b/>
          <w:bCs/>
          <w:sz w:val="28"/>
          <w:szCs w:val="28"/>
        </w:rPr>
        <w:t>“五育并举”综合</w:t>
      </w:r>
      <w:r>
        <w:rPr>
          <w:rFonts w:hint="eastAsia" w:ascii="仿宋" w:hAnsi="仿宋" w:eastAsia="仿宋"/>
          <w:b/>
          <w:bCs/>
          <w:sz w:val="28"/>
          <w:szCs w:val="28"/>
        </w:rPr>
        <w:t>型</w:t>
      </w:r>
      <w:r>
        <w:rPr>
          <w:rFonts w:ascii="仿宋" w:hAnsi="仿宋" w:eastAsia="仿宋"/>
          <w:b/>
          <w:bCs/>
          <w:sz w:val="28"/>
          <w:szCs w:val="28"/>
        </w:rPr>
        <w:t>人才</w:t>
      </w:r>
    </w:p>
    <w:p>
      <w:pPr>
        <w:spacing w:line="540" w:lineRule="exact"/>
        <w:ind w:firstLine="562" w:firstLineChars="200"/>
        <w:rPr>
          <w:rFonts w:ascii="仿宋" w:hAnsi="仿宋" w:eastAsia="仿宋"/>
          <w:sz w:val="28"/>
          <w:szCs w:val="28"/>
        </w:rPr>
      </w:pPr>
      <w:r>
        <w:rPr>
          <w:rFonts w:hint="eastAsia" w:ascii="仿宋" w:hAnsi="仿宋" w:eastAsia="仿宋"/>
          <w:b/>
          <w:bCs/>
          <w:sz w:val="28"/>
          <w:szCs w:val="28"/>
        </w:rPr>
        <w:t>建立</w:t>
      </w:r>
      <w:r>
        <w:rPr>
          <w:rFonts w:ascii="仿宋" w:hAnsi="仿宋" w:eastAsia="仿宋"/>
          <w:b/>
          <w:bCs/>
          <w:sz w:val="28"/>
          <w:szCs w:val="28"/>
        </w:rPr>
        <w:t>德育发展</w:t>
      </w:r>
      <w:r>
        <w:rPr>
          <w:rFonts w:hint="eastAsia" w:ascii="仿宋" w:hAnsi="仿宋" w:eastAsia="仿宋"/>
          <w:b/>
          <w:bCs/>
          <w:sz w:val="28"/>
          <w:szCs w:val="28"/>
        </w:rPr>
        <w:t>中心。</w:t>
      </w:r>
      <w:r>
        <w:rPr>
          <w:rFonts w:hint="eastAsia" w:ascii="仿宋" w:hAnsi="仿宋" w:eastAsia="仿宋"/>
          <w:sz w:val="28"/>
          <w:szCs w:val="28"/>
        </w:rPr>
        <w:t>由</w:t>
      </w:r>
      <w:r>
        <w:rPr>
          <w:rFonts w:ascii="仿宋" w:hAnsi="仿宋" w:eastAsia="仿宋"/>
          <w:sz w:val="28"/>
          <w:szCs w:val="28"/>
        </w:rPr>
        <w:t>马克思主义学院</w:t>
      </w:r>
      <w:r>
        <w:rPr>
          <w:rFonts w:hint="eastAsia" w:ascii="仿宋" w:hAnsi="仿宋" w:eastAsia="仿宋"/>
          <w:sz w:val="28"/>
          <w:szCs w:val="28"/>
        </w:rPr>
        <w:t>牵头，</w:t>
      </w:r>
      <w:r>
        <w:rPr>
          <w:rFonts w:ascii="仿宋" w:hAnsi="仿宋" w:eastAsia="仿宋"/>
          <w:sz w:val="28"/>
          <w:szCs w:val="28"/>
        </w:rPr>
        <w:t>学工处、团委、教务处、安全</w:t>
      </w:r>
      <w:r>
        <w:rPr>
          <w:rFonts w:hint="eastAsia" w:ascii="仿宋" w:hAnsi="仿宋" w:eastAsia="仿宋"/>
          <w:sz w:val="28"/>
          <w:szCs w:val="28"/>
        </w:rPr>
        <w:t>保卫</w:t>
      </w:r>
      <w:r>
        <w:rPr>
          <w:rFonts w:ascii="仿宋" w:hAnsi="仿宋" w:eastAsia="仿宋"/>
          <w:sz w:val="28"/>
          <w:szCs w:val="28"/>
        </w:rPr>
        <w:t xml:space="preserve">处等部门和各教学部门，以培养对中国特色社会主义制度的深度认同、对国家、社会、家庭、职业的责任担当、对职业伦理的主动遵守、对合作团队的和谐融入为主要内容，深入挖掘德育元素，系统营造德育氛围，指导各类课程和活动明确德育导向、优化德育内容。 </w:t>
      </w:r>
    </w:p>
    <w:p>
      <w:pPr>
        <w:spacing w:line="540" w:lineRule="exact"/>
        <w:ind w:firstLine="562" w:firstLineChars="200"/>
        <w:rPr>
          <w:rFonts w:ascii="仿宋" w:hAnsi="仿宋" w:eastAsia="仿宋"/>
          <w:sz w:val="28"/>
          <w:szCs w:val="28"/>
        </w:rPr>
      </w:pPr>
      <w:r>
        <w:rPr>
          <w:rFonts w:hint="eastAsia" w:ascii="仿宋" w:hAnsi="仿宋" w:eastAsia="仿宋"/>
          <w:b/>
          <w:bCs/>
          <w:sz w:val="28"/>
          <w:szCs w:val="28"/>
        </w:rPr>
        <w:t>建立</w:t>
      </w:r>
      <w:r>
        <w:rPr>
          <w:rFonts w:ascii="仿宋" w:hAnsi="仿宋" w:eastAsia="仿宋"/>
          <w:b/>
          <w:bCs/>
          <w:sz w:val="28"/>
          <w:szCs w:val="28"/>
        </w:rPr>
        <w:t>智育发展中心</w:t>
      </w:r>
      <w:r>
        <w:rPr>
          <w:rFonts w:hint="eastAsia" w:ascii="仿宋" w:hAnsi="仿宋" w:eastAsia="仿宋"/>
          <w:b/>
          <w:bCs/>
          <w:sz w:val="28"/>
          <w:szCs w:val="28"/>
        </w:rPr>
        <w:t>。</w:t>
      </w:r>
      <w:r>
        <w:rPr>
          <w:rFonts w:ascii="仿宋" w:hAnsi="仿宋" w:eastAsia="仿宋"/>
          <w:sz w:val="28"/>
          <w:szCs w:val="28"/>
        </w:rPr>
        <w:t>由教务处牵头，集中学工处、科技处、</w:t>
      </w:r>
      <w:r>
        <w:rPr>
          <w:rFonts w:hint="eastAsia" w:ascii="仿宋" w:hAnsi="仿宋" w:eastAsia="仿宋"/>
          <w:sz w:val="28"/>
          <w:szCs w:val="28"/>
        </w:rPr>
        <w:t>规划处</w:t>
      </w:r>
      <w:r>
        <w:rPr>
          <w:rFonts w:ascii="仿宋" w:hAnsi="仿宋" w:eastAsia="仿宋"/>
          <w:sz w:val="28"/>
          <w:szCs w:val="28"/>
        </w:rPr>
        <w:t xml:space="preserve">等部门和各教学部门的力量，以帮助学生强化支撑终身发展、适应时代要求的关键能力为重点，丰富认知能力、合作能力、创新能力、职业能力内涵，优化教育教学设计，引导学生养成勤奋严谨爱智求真的品格、独立思考逻辑推理的能力、求知好奇勇于探索的精神、知行合一乐于实践的习惯、跟进发展自主学习的意识、多元包容跨文化交流的视野，全面提高学生素质。构建学生学业发展支持体系，组建学业导师团队，开展学业发展主题辅导、个体学业咨询和诊断、学情分析和学困生帮扶等活动，帮助学生明确自身的学习需求，树立先进的学习理念，掌握适用的学习策略，建立良好的学习模式。 </w:t>
      </w:r>
    </w:p>
    <w:p>
      <w:pPr>
        <w:spacing w:line="540" w:lineRule="exact"/>
        <w:ind w:firstLine="562" w:firstLineChars="200"/>
        <w:rPr>
          <w:rFonts w:ascii="仿宋" w:hAnsi="仿宋" w:eastAsia="仿宋"/>
          <w:sz w:val="28"/>
          <w:szCs w:val="28"/>
        </w:rPr>
      </w:pPr>
      <w:r>
        <w:rPr>
          <w:rFonts w:hint="eastAsia" w:ascii="仿宋" w:hAnsi="仿宋" w:eastAsia="仿宋"/>
          <w:b/>
          <w:bCs/>
          <w:sz w:val="28"/>
          <w:szCs w:val="28"/>
        </w:rPr>
        <w:t>建立</w:t>
      </w:r>
      <w:r>
        <w:rPr>
          <w:rFonts w:ascii="仿宋" w:hAnsi="仿宋" w:eastAsia="仿宋"/>
          <w:b/>
          <w:bCs/>
          <w:sz w:val="28"/>
          <w:szCs w:val="28"/>
        </w:rPr>
        <w:t>体育发展中心</w:t>
      </w:r>
      <w:r>
        <w:rPr>
          <w:rFonts w:hint="eastAsia" w:ascii="仿宋" w:hAnsi="仿宋" w:eastAsia="仿宋"/>
          <w:b/>
          <w:bCs/>
          <w:sz w:val="28"/>
          <w:szCs w:val="28"/>
        </w:rPr>
        <w:t>。</w:t>
      </w:r>
      <w:r>
        <w:rPr>
          <w:rFonts w:ascii="仿宋" w:hAnsi="仿宋" w:eastAsia="仿宋"/>
          <w:sz w:val="28"/>
          <w:szCs w:val="28"/>
        </w:rPr>
        <w:t>由</w:t>
      </w:r>
      <w:r>
        <w:rPr>
          <w:rFonts w:hint="eastAsia" w:ascii="仿宋" w:hAnsi="仿宋" w:eastAsia="仿宋"/>
          <w:sz w:val="28"/>
          <w:szCs w:val="28"/>
        </w:rPr>
        <w:t>人文学院</w:t>
      </w:r>
      <w:r>
        <w:rPr>
          <w:rFonts w:ascii="仿宋" w:hAnsi="仿宋" w:eastAsia="仿宋"/>
          <w:sz w:val="28"/>
          <w:szCs w:val="28"/>
        </w:rPr>
        <w:t>牵头，会同心理健康中心、学工处、教务处、后勤服务中心等部门，</w:t>
      </w:r>
      <w:r>
        <w:rPr>
          <w:rFonts w:hint="eastAsia" w:ascii="仿宋" w:hAnsi="仿宋" w:eastAsia="仿宋"/>
          <w:sz w:val="28"/>
          <w:szCs w:val="28"/>
        </w:rPr>
        <w:t>优化体育的毕业要求，</w:t>
      </w:r>
      <w:r>
        <w:rPr>
          <w:rFonts w:ascii="仿宋" w:hAnsi="仿宋" w:eastAsia="仿宋"/>
          <w:sz w:val="28"/>
          <w:szCs w:val="28"/>
        </w:rPr>
        <w:t xml:space="preserve">研究制定学生健康成长机制、健康保障机制、健康促进机制，推进“阳光体育”活动和“阳光心态”教育，帮助学生掌握一项坚持终身的体育技能，学会一种助己助人的心理疏导方法，养成一种积极健康的生活方式，为其职业生涯和人生发展奠定基础。 </w:t>
      </w:r>
    </w:p>
    <w:p>
      <w:pPr>
        <w:spacing w:line="540" w:lineRule="exact"/>
        <w:ind w:firstLine="562" w:firstLineChars="200"/>
        <w:rPr>
          <w:rFonts w:ascii="仿宋" w:hAnsi="仿宋" w:eastAsia="仿宋"/>
          <w:sz w:val="28"/>
          <w:szCs w:val="28"/>
        </w:rPr>
      </w:pPr>
      <w:r>
        <w:rPr>
          <w:rFonts w:hint="eastAsia" w:ascii="仿宋" w:hAnsi="仿宋" w:eastAsia="仿宋"/>
          <w:b/>
          <w:bCs/>
          <w:sz w:val="28"/>
          <w:szCs w:val="28"/>
        </w:rPr>
        <w:t>建立</w:t>
      </w:r>
      <w:r>
        <w:rPr>
          <w:rFonts w:ascii="仿宋" w:hAnsi="仿宋" w:eastAsia="仿宋"/>
          <w:b/>
          <w:bCs/>
          <w:sz w:val="28"/>
          <w:szCs w:val="28"/>
        </w:rPr>
        <w:t>美育发展中心</w:t>
      </w:r>
      <w:r>
        <w:rPr>
          <w:rFonts w:hint="eastAsia" w:ascii="仿宋" w:hAnsi="仿宋" w:eastAsia="仿宋"/>
          <w:b/>
          <w:bCs/>
          <w:sz w:val="28"/>
          <w:szCs w:val="28"/>
        </w:rPr>
        <w:t>。</w:t>
      </w:r>
      <w:r>
        <w:rPr>
          <w:rFonts w:ascii="仿宋" w:hAnsi="仿宋" w:eastAsia="仿宋"/>
          <w:sz w:val="28"/>
          <w:szCs w:val="28"/>
        </w:rPr>
        <w:t>由</w:t>
      </w:r>
      <w:r>
        <w:rPr>
          <w:rFonts w:hint="eastAsia" w:ascii="仿宋" w:hAnsi="仿宋" w:eastAsia="仿宋"/>
          <w:sz w:val="28"/>
          <w:szCs w:val="28"/>
        </w:rPr>
        <w:t>人文学院</w:t>
      </w:r>
      <w:r>
        <w:rPr>
          <w:rFonts w:ascii="仿宋" w:hAnsi="仿宋" w:eastAsia="仿宋"/>
          <w:sz w:val="28"/>
          <w:szCs w:val="28"/>
        </w:rPr>
        <w:t>牵头，会同党委宣传部、</w:t>
      </w:r>
      <w:r>
        <w:rPr>
          <w:rFonts w:hint="eastAsia" w:ascii="仿宋" w:hAnsi="仿宋" w:eastAsia="仿宋"/>
          <w:sz w:val="28"/>
          <w:szCs w:val="28"/>
        </w:rPr>
        <w:t>团委</w:t>
      </w:r>
      <w:r>
        <w:rPr>
          <w:rFonts w:ascii="仿宋" w:hAnsi="仿宋" w:eastAsia="仿宋"/>
          <w:sz w:val="28"/>
          <w:szCs w:val="28"/>
        </w:rPr>
        <w:t>、教务处、学工处、</w:t>
      </w:r>
      <w:r>
        <w:rPr>
          <w:rFonts w:hint="eastAsia" w:ascii="仿宋" w:hAnsi="仿宋" w:eastAsia="仿宋"/>
          <w:sz w:val="28"/>
          <w:szCs w:val="28"/>
        </w:rPr>
        <w:t>图书馆</w:t>
      </w:r>
      <w:r>
        <w:rPr>
          <w:rFonts w:ascii="仿宋" w:hAnsi="仿宋" w:eastAsia="仿宋"/>
          <w:sz w:val="28"/>
          <w:szCs w:val="28"/>
        </w:rPr>
        <w:t>、后勤服务中心等部门，以提高学生对文化、职业、生活的感知能力和审美情趣为目标，</w:t>
      </w:r>
      <w:r>
        <w:rPr>
          <w:rFonts w:hint="eastAsia" w:ascii="仿宋" w:hAnsi="仿宋" w:eastAsia="仿宋"/>
          <w:sz w:val="28"/>
          <w:szCs w:val="28"/>
        </w:rPr>
        <w:t>开足美育课，</w:t>
      </w:r>
      <w:r>
        <w:rPr>
          <w:rFonts w:ascii="仿宋" w:hAnsi="仿宋" w:eastAsia="仿宋"/>
          <w:sz w:val="28"/>
          <w:szCs w:val="28"/>
        </w:rPr>
        <w:t xml:space="preserve">系统设计课程教学、实践活动、校园文化、艺术展演“四位一体”的美育体系，优化学校美育环境，提升教师审美教育能力。 </w:t>
      </w:r>
    </w:p>
    <w:p>
      <w:pPr>
        <w:spacing w:line="540" w:lineRule="exact"/>
        <w:ind w:firstLine="562" w:firstLineChars="200"/>
        <w:rPr>
          <w:rFonts w:ascii="仿宋" w:hAnsi="仿宋" w:eastAsia="仿宋"/>
          <w:sz w:val="28"/>
          <w:szCs w:val="28"/>
        </w:rPr>
      </w:pPr>
      <w:r>
        <w:rPr>
          <w:rFonts w:hint="eastAsia" w:ascii="仿宋" w:hAnsi="仿宋" w:eastAsia="仿宋"/>
          <w:b/>
          <w:bCs/>
          <w:sz w:val="28"/>
          <w:szCs w:val="28"/>
        </w:rPr>
        <w:t>建立</w:t>
      </w:r>
      <w:r>
        <w:rPr>
          <w:rFonts w:ascii="仿宋" w:hAnsi="仿宋" w:eastAsia="仿宋"/>
          <w:b/>
          <w:bCs/>
          <w:sz w:val="28"/>
          <w:szCs w:val="28"/>
        </w:rPr>
        <w:t>劳育发展中心</w:t>
      </w:r>
      <w:r>
        <w:rPr>
          <w:rFonts w:hint="eastAsia" w:ascii="仿宋" w:hAnsi="仿宋" w:eastAsia="仿宋"/>
          <w:b/>
          <w:bCs/>
          <w:sz w:val="28"/>
          <w:szCs w:val="28"/>
        </w:rPr>
        <w:t>。</w:t>
      </w:r>
      <w:r>
        <w:rPr>
          <w:rFonts w:ascii="仿宋" w:hAnsi="仿宋" w:eastAsia="仿宋"/>
          <w:sz w:val="28"/>
          <w:szCs w:val="28"/>
        </w:rPr>
        <w:t>由</w:t>
      </w:r>
      <w:r>
        <w:rPr>
          <w:rFonts w:hint="eastAsia" w:ascii="仿宋" w:hAnsi="仿宋" w:eastAsia="仿宋"/>
          <w:sz w:val="28"/>
          <w:szCs w:val="28"/>
        </w:rPr>
        <w:t>教务</w:t>
      </w:r>
      <w:r>
        <w:rPr>
          <w:rFonts w:ascii="仿宋" w:hAnsi="仿宋" w:eastAsia="仿宋"/>
          <w:sz w:val="28"/>
          <w:szCs w:val="28"/>
        </w:rPr>
        <w:t>处牵头，会同后勤服务中心、团委、</w:t>
      </w:r>
      <w:r>
        <w:rPr>
          <w:rFonts w:hint="eastAsia" w:ascii="仿宋" w:hAnsi="仿宋" w:eastAsia="仿宋"/>
          <w:sz w:val="28"/>
          <w:szCs w:val="28"/>
        </w:rPr>
        <w:t>学工</w:t>
      </w:r>
      <w:r>
        <w:rPr>
          <w:rFonts w:ascii="仿宋" w:hAnsi="仿宋" w:eastAsia="仿宋"/>
          <w:sz w:val="28"/>
          <w:szCs w:val="28"/>
        </w:rPr>
        <w:t>处和各教学部门，结合年级和专业教育需求，融入劳模精神和工匠精神，以劳动光荣、技能宝贵、创造伟大为导向，构建劳动项目和劳动美德相结合的线上资源平台，</w:t>
      </w:r>
      <w:r>
        <w:rPr>
          <w:rFonts w:hint="eastAsia" w:ascii="仿宋" w:hAnsi="仿宋" w:eastAsia="仿宋"/>
          <w:sz w:val="28"/>
          <w:szCs w:val="28"/>
        </w:rPr>
        <w:t>探索劳动清单制度，</w:t>
      </w:r>
      <w:r>
        <w:rPr>
          <w:rFonts w:ascii="仿宋" w:hAnsi="仿宋" w:eastAsia="仿宋"/>
          <w:sz w:val="28"/>
          <w:szCs w:val="28"/>
        </w:rPr>
        <w:t>学生进专业项目</w:t>
      </w:r>
      <w:r>
        <w:rPr>
          <w:rFonts w:hint="eastAsia" w:ascii="仿宋" w:hAnsi="仿宋" w:eastAsia="仿宋"/>
          <w:sz w:val="28"/>
          <w:szCs w:val="28"/>
        </w:rPr>
        <w:t>－</w:t>
      </w:r>
      <w:r>
        <w:rPr>
          <w:rFonts w:ascii="仿宋" w:hAnsi="仿宋" w:eastAsia="仿宋"/>
          <w:sz w:val="28"/>
          <w:szCs w:val="28"/>
        </w:rPr>
        <w:t>进社团</w:t>
      </w:r>
      <w:r>
        <w:rPr>
          <w:rFonts w:hint="eastAsia" w:ascii="仿宋" w:hAnsi="仿宋" w:eastAsia="仿宋"/>
          <w:sz w:val="28"/>
          <w:szCs w:val="28"/>
        </w:rPr>
        <w:t>－</w:t>
      </w:r>
      <w:r>
        <w:rPr>
          <w:rFonts w:ascii="仿宋" w:hAnsi="仿宋" w:eastAsia="仿宋"/>
          <w:sz w:val="28"/>
          <w:szCs w:val="28"/>
        </w:rPr>
        <w:t>进社区劳动实践平台，校外劳动实践基地，形成“项目+校内平台+校外基地”劳动育人体系。将劳模精神和工匠精神融入劳育中，激励学生奋斗精神，促进以劳育德、以劳育人。</w:t>
      </w:r>
    </w:p>
    <w:p>
      <w:pPr>
        <w:keepNext/>
        <w:keepLines/>
        <w:spacing w:line="540" w:lineRule="exact"/>
        <w:ind w:firstLine="562" w:firstLineChars="200"/>
        <w:outlineLvl w:val="3"/>
        <w:rPr>
          <w:rFonts w:ascii="Times New Roman" w:hAnsi="Times New Roman" w:eastAsia="仿宋"/>
          <w:b/>
          <w:sz w:val="28"/>
          <w:szCs w:val="28"/>
        </w:rPr>
      </w:pPr>
      <w:r>
        <w:rPr>
          <w:rFonts w:hint="eastAsia" w:ascii="Times New Roman" w:hAnsi="Times New Roman" w:eastAsia="仿宋"/>
          <w:b/>
          <w:sz w:val="28"/>
          <w:szCs w:val="28"/>
        </w:rPr>
        <w:t>（5）建设计划</w:t>
      </w:r>
    </w:p>
    <w:tbl>
      <w:tblPr>
        <w:tblStyle w:val="17"/>
        <w:tblW w:w="84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5"/>
        <w:gridCol w:w="1900"/>
        <w:gridCol w:w="4305"/>
        <w:gridCol w:w="1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 w:type="dxa"/>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年度</w:t>
            </w:r>
          </w:p>
        </w:tc>
        <w:tc>
          <w:tcPr>
            <w:tcW w:w="1900" w:type="dxa"/>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建设任务</w:t>
            </w:r>
          </w:p>
        </w:tc>
        <w:tc>
          <w:tcPr>
            <w:tcW w:w="4305" w:type="dxa"/>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建设内容</w:t>
            </w:r>
          </w:p>
        </w:tc>
        <w:tc>
          <w:tcPr>
            <w:tcW w:w="1410" w:type="dxa"/>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负责部门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 w:type="dxa"/>
            <w:vMerge w:val="restart"/>
            <w:vAlign w:val="center"/>
          </w:tcPr>
          <w:p>
            <w:pPr>
              <w:spacing w:line="260" w:lineRule="exact"/>
              <w:jc w:val="center"/>
              <w:rPr>
                <w:rFonts w:ascii="仿宋" w:hAnsi="仿宋" w:eastAsia="仿宋" w:cs="仿宋"/>
                <w:b/>
                <w:szCs w:val="21"/>
              </w:rPr>
            </w:pPr>
            <w:r>
              <w:rPr>
                <w:rFonts w:hint="eastAsia" w:ascii="仿宋" w:hAnsi="仿宋" w:eastAsia="仿宋" w:cs="仿宋"/>
                <w:b/>
                <w:szCs w:val="21"/>
              </w:rPr>
              <w:t>2023</w:t>
            </w:r>
          </w:p>
        </w:tc>
        <w:tc>
          <w:tcPr>
            <w:tcW w:w="1900" w:type="dxa"/>
            <w:vAlign w:val="center"/>
          </w:tcPr>
          <w:p>
            <w:pPr>
              <w:spacing w:line="260" w:lineRule="exact"/>
              <w:jc w:val="left"/>
              <w:rPr>
                <w:rFonts w:ascii="仿宋" w:hAnsi="仿宋" w:eastAsia="仿宋" w:cs="仿宋"/>
                <w:bCs/>
                <w:szCs w:val="21"/>
              </w:rPr>
            </w:pPr>
            <w:r>
              <w:rPr>
                <w:rFonts w:hint="eastAsia" w:ascii="仿宋" w:hAnsi="仿宋" w:eastAsia="仿宋" w:cs="仿宋"/>
                <w:bCs/>
                <w:szCs w:val="21"/>
              </w:rPr>
              <w:t>实施“铸魂育人”工程，落实“三进”工作新要求</w:t>
            </w:r>
          </w:p>
        </w:tc>
        <w:tc>
          <w:tcPr>
            <w:tcW w:w="4305" w:type="dxa"/>
            <w:vAlign w:val="center"/>
          </w:tcPr>
          <w:p>
            <w:pPr>
              <w:spacing w:line="260" w:lineRule="exact"/>
              <w:rPr>
                <w:rFonts w:ascii="仿宋" w:hAnsi="仿宋" w:eastAsia="仿宋" w:cs="仿宋"/>
                <w:bCs/>
                <w:szCs w:val="21"/>
              </w:rPr>
            </w:pPr>
            <w:r>
              <w:rPr>
                <w:rFonts w:hint="eastAsia" w:ascii="仿宋" w:hAnsi="仿宋" w:eastAsia="仿宋" w:cs="仿宋"/>
                <w:bCs/>
                <w:szCs w:val="21"/>
              </w:rPr>
              <w:t>与惠州市其他高职院校共建马克思主义学院，组建“三进”团队。编制4门思政课程“三进”教学指导方案。制作“三进”微课视频、课件。</w:t>
            </w:r>
          </w:p>
        </w:tc>
        <w:tc>
          <w:tcPr>
            <w:tcW w:w="1410"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马克思主义学院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 w:type="dxa"/>
            <w:vMerge w:val="continue"/>
            <w:vAlign w:val="center"/>
          </w:tcPr>
          <w:p>
            <w:pPr>
              <w:spacing w:line="260" w:lineRule="exact"/>
              <w:jc w:val="center"/>
              <w:rPr>
                <w:rFonts w:ascii="仿宋" w:hAnsi="仿宋" w:eastAsia="仿宋" w:cs="仿宋"/>
                <w:b/>
                <w:szCs w:val="21"/>
              </w:rPr>
            </w:pPr>
          </w:p>
        </w:tc>
        <w:tc>
          <w:tcPr>
            <w:tcW w:w="1900" w:type="dxa"/>
            <w:vMerge w:val="restart"/>
            <w:vAlign w:val="center"/>
          </w:tcPr>
          <w:p>
            <w:pPr>
              <w:spacing w:line="260" w:lineRule="exact"/>
              <w:jc w:val="left"/>
              <w:rPr>
                <w:rFonts w:ascii="仿宋" w:hAnsi="仿宋" w:eastAsia="仿宋" w:cs="仿宋"/>
                <w:bCs/>
                <w:szCs w:val="21"/>
              </w:rPr>
            </w:pPr>
            <w:r>
              <w:rPr>
                <w:rFonts w:hint="eastAsia" w:ascii="仿宋" w:hAnsi="仿宋" w:eastAsia="仿宋" w:cs="仿宋"/>
                <w:bCs/>
                <w:szCs w:val="21"/>
              </w:rPr>
              <w:t>实施“数字树人”工程，形成“三全育人”新格局</w:t>
            </w:r>
          </w:p>
        </w:tc>
        <w:tc>
          <w:tcPr>
            <w:tcW w:w="4305" w:type="dxa"/>
            <w:vAlign w:val="center"/>
          </w:tcPr>
          <w:p>
            <w:pPr>
              <w:spacing w:line="260" w:lineRule="exact"/>
              <w:rPr>
                <w:rFonts w:ascii="仿宋" w:hAnsi="仿宋" w:eastAsia="仿宋" w:cs="仿宋"/>
                <w:bCs/>
                <w:szCs w:val="21"/>
              </w:rPr>
            </w:pPr>
            <w:r>
              <w:rPr>
                <w:rFonts w:hint="eastAsia" w:ascii="仿宋" w:hAnsi="仿宋" w:eastAsia="仿宋" w:cs="仿宋"/>
                <w:bCs/>
                <w:szCs w:val="21"/>
              </w:rPr>
              <w:t>基于校内校外、课内课外、线上线下的学习通云课堂，实现全方位育人。</w:t>
            </w:r>
            <w:r>
              <w:rPr>
                <w:rFonts w:ascii="仿宋" w:hAnsi="仿宋" w:eastAsia="仿宋" w:cs="仿宋"/>
                <w:bCs/>
                <w:szCs w:val="21"/>
              </w:rPr>
              <w:t xml:space="preserve"> </w:t>
            </w:r>
          </w:p>
        </w:tc>
        <w:tc>
          <w:tcPr>
            <w:tcW w:w="1410"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教务处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 w:type="dxa"/>
            <w:vMerge w:val="continue"/>
            <w:vAlign w:val="center"/>
          </w:tcPr>
          <w:p>
            <w:pPr>
              <w:spacing w:line="260" w:lineRule="exact"/>
              <w:jc w:val="center"/>
              <w:rPr>
                <w:rFonts w:ascii="仿宋" w:hAnsi="仿宋" w:eastAsia="仿宋" w:cs="仿宋"/>
                <w:b/>
                <w:szCs w:val="21"/>
              </w:rPr>
            </w:pPr>
          </w:p>
        </w:tc>
        <w:tc>
          <w:tcPr>
            <w:tcW w:w="1900" w:type="dxa"/>
            <w:vMerge w:val="continue"/>
            <w:vAlign w:val="center"/>
          </w:tcPr>
          <w:p>
            <w:pPr>
              <w:spacing w:line="260" w:lineRule="exact"/>
              <w:jc w:val="left"/>
              <w:rPr>
                <w:rFonts w:ascii="仿宋" w:hAnsi="仿宋" w:eastAsia="仿宋" w:cs="仿宋"/>
                <w:bCs/>
                <w:szCs w:val="21"/>
              </w:rPr>
            </w:pPr>
          </w:p>
        </w:tc>
        <w:tc>
          <w:tcPr>
            <w:tcW w:w="4305" w:type="dxa"/>
            <w:vAlign w:val="center"/>
          </w:tcPr>
          <w:p>
            <w:pPr>
              <w:spacing w:line="260" w:lineRule="exact"/>
              <w:rPr>
                <w:rFonts w:ascii="仿宋" w:hAnsi="仿宋" w:eastAsia="仿宋" w:cs="仿宋"/>
                <w:bCs/>
                <w:szCs w:val="21"/>
              </w:rPr>
            </w:pPr>
            <w:r>
              <w:rPr>
                <w:rFonts w:hint="eastAsia" w:ascii="仿宋" w:hAnsi="仿宋" w:eastAsia="仿宋" w:cs="仿宋"/>
                <w:bCs/>
                <w:szCs w:val="21"/>
              </w:rPr>
              <w:t>基于学生在校三年学习成长记录的智慧学工平台，实现全过程育人；建设学生发展诊改平台，实施学生发展“成长工程”，定期发布《学生成长质量报告》。</w:t>
            </w:r>
          </w:p>
        </w:tc>
        <w:tc>
          <w:tcPr>
            <w:tcW w:w="1410"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学生处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 w:type="dxa"/>
            <w:vMerge w:val="continue"/>
            <w:vAlign w:val="center"/>
          </w:tcPr>
          <w:p>
            <w:pPr>
              <w:spacing w:line="260" w:lineRule="exact"/>
              <w:jc w:val="center"/>
              <w:rPr>
                <w:rFonts w:ascii="仿宋" w:hAnsi="仿宋" w:eastAsia="仿宋" w:cs="仿宋"/>
                <w:b/>
                <w:szCs w:val="21"/>
              </w:rPr>
            </w:pPr>
          </w:p>
        </w:tc>
        <w:tc>
          <w:tcPr>
            <w:tcW w:w="1900" w:type="dxa"/>
            <w:vMerge w:val="continue"/>
            <w:vAlign w:val="center"/>
          </w:tcPr>
          <w:p>
            <w:pPr>
              <w:spacing w:line="260" w:lineRule="exact"/>
              <w:jc w:val="left"/>
              <w:rPr>
                <w:rFonts w:ascii="仿宋" w:hAnsi="仿宋" w:eastAsia="仿宋" w:cs="仿宋"/>
                <w:bCs/>
                <w:szCs w:val="21"/>
              </w:rPr>
            </w:pPr>
          </w:p>
        </w:tc>
        <w:tc>
          <w:tcPr>
            <w:tcW w:w="4305" w:type="dxa"/>
            <w:vAlign w:val="center"/>
          </w:tcPr>
          <w:p>
            <w:pPr>
              <w:spacing w:line="260" w:lineRule="exact"/>
              <w:rPr>
                <w:rFonts w:ascii="仿宋" w:hAnsi="仿宋" w:eastAsia="仿宋" w:cs="仿宋"/>
                <w:bCs/>
                <w:szCs w:val="21"/>
              </w:rPr>
            </w:pPr>
            <w:r>
              <w:rPr>
                <w:rFonts w:hint="eastAsia" w:ascii="仿宋" w:hAnsi="仿宋" w:eastAsia="仿宋" w:cs="仿宋"/>
                <w:bCs/>
                <w:szCs w:val="21"/>
              </w:rPr>
              <w:t>基于网上事务大厅，构建大学生数据中心，实现教务、财务、人事、学生、科研等全业务系统互联互通，实现全员育人。</w:t>
            </w:r>
          </w:p>
        </w:tc>
        <w:tc>
          <w:tcPr>
            <w:tcW w:w="1410"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信息技术中心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 w:type="dxa"/>
            <w:vMerge w:val="continue"/>
            <w:vAlign w:val="center"/>
          </w:tcPr>
          <w:p>
            <w:pPr>
              <w:spacing w:line="260" w:lineRule="exact"/>
              <w:jc w:val="center"/>
              <w:rPr>
                <w:rFonts w:ascii="仿宋" w:hAnsi="仿宋" w:eastAsia="仿宋" w:cs="仿宋"/>
                <w:b/>
                <w:szCs w:val="21"/>
              </w:rPr>
            </w:pPr>
          </w:p>
        </w:tc>
        <w:tc>
          <w:tcPr>
            <w:tcW w:w="1900" w:type="dxa"/>
            <w:vAlign w:val="center"/>
          </w:tcPr>
          <w:p>
            <w:pPr>
              <w:spacing w:line="260" w:lineRule="exact"/>
              <w:jc w:val="left"/>
              <w:rPr>
                <w:rFonts w:ascii="仿宋" w:hAnsi="仿宋" w:eastAsia="仿宋" w:cs="仿宋"/>
                <w:bCs/>
                <w:szCs w:val="21"/>
              </w:rPr>
            </w:pPr>
            <w:r>
              <w:rPr>
                <w:rFonts w:hint="eastAsia" w:ascii="仿宋" w:hAnsi="仿宋" w:eastAsia="仿宋" w:cs="仿宋"/>
                <w:bCs/>
                <w:szCs w:val="21"/>
              </w:rPr>
              <w:t>构建“五维全才”体系，培养“五育并举”综合型人才</w:t>
            </w:r>
          </w:p>
        </w:tc>
        <w:tc>
          <w:tcPr>
            <w:tcW w:w="4305" w:type="dxa"/>
            <w:vAlign w:val="center"/>
          </w:tcPr>
          <w:p>
            <w:pPr>
              <w:spacing w:line="260" w:lineRule="exact"/>
              <w:rPr>
                <w:rFonts w:ascii="仿宋" w:hAnsi="仿宋" w:eastAsia="仿宋" w:cs="仿宋"/>
                <w:bCs/>
                <w:szCs w:val="21"/>
              </w:rPr>
            </w:pPr>
            <w:r>
              <w:rPr>
                <w:rFonts w:hint="eastAsia" w:ascii="仿宋" w:hAnsi="仿宋" w:eastAsia="仿宋" w:cs="仿宋"/>
                <w:bCs/>
                <w:szCs w:val="21"/>
              </w:rPr>
              <w:t>建立德育、智育发展中心。</w:t>
            </w:r>
          </w:p>
        </w:tc>
        <w:tc>
          <w:tcPr>
            <w:tcW w:w="1410"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马克思主义学院、教务处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 w:type="dxa"/>
            <w:vMerge w:val="restart"/>
            <w:vAlign w:val="center"/>
          </w:tcPr>
          <w:p>
            <w:pPr>
              <w:spacing w:line="260" w:lineRule="exact"/>
              <w:jc w:val="center"/>
              <w:rPr>
                <w:rFonts w:ascii="仿宋" w:hAnsi="仿宋" w:eastAsia="仿宋" w:cs="仿宋"/>
                <w:b/>
                <w:szCs w:val="21"/>
              </w:rPr>
            </w:pPr>
            <w:r>
              <w:rPr>
                <w:rFonts w:hint="eastAsia" w:ascii="仿宋" w:hAnsi="仿宋" w:eastAsia="仿宋" w:cs="仿宋"/>
                <w:b/>
                <w:szCs w:val="21"/>
              </w:rPr>
              <w:t>2024</w:t>
            </w:r>
          </w:p>
        </w:tc>
        <w:tc>
          <w:tcPr>
            <w:tcW w:w="1900" w:type="dxa"/>
            <w:vAlign w:val="center"/>
          </w:tcPr>
          <w:p>
            <w:pPr>
              <w:spacing w:line="260" w:lineRule="exact"/>
              <w:jc w:val="left"/>
              <w:rPr>
                <w:rFonts w:ascii="仿宋" w:hAnsi="仿宋" w:eastAsia="仿宋" w:cs="仿宋"/>
                <w:bCs/>
                <w:szCs w:val="21"/>
              </w:rPr>
            </w:pPr>
            <w:r>
              <w:rPr>
                <w:rFonts w:hint="eastAsia" w:ascii="仿宋" w:hAnsi="仿宋" w:eastAsia="仿宋" w:cs="仿宋"/>
                <w:bCs/>
                <w:szCs w:val="21"/>
              </w:rPr>
              <w:t>实施“铸魂育人”工程，落实“三进”工作新要求</w:t>
            </w:r>
          </w:p>
        </w:tc>
        <w:tc>
          <w:tcPr>
            <w:tcW w:w="4305" w:type="dxa"/>
            <w:vAlign w:val="center"/>
          </w:tcPr>
          <w:p>
            <w:pPr>
              <w:spacing w:line="260" w:lineRule="exact"/>
              <w:rPr>
                <w:rFonts w:ascii="仿宋" w:hAnsi="仿宋" w:eastAsia="仿宋" w:cs="仿宋"/>
                <w:bCs/>
                <w:szCs w:val="21"/>
              </w:rPr>
            </w:pPr>
            <w:r>
              <w:rPr>
                <w:rFonts w:hint="eastAsia" w:ascii="仿宋" w:hAnsi="仿宋" w:eastAsia="仿宋" w:cs="仿宋"/>
                <w:bCs/>
                <w:szCs w:val="21"/>
              </w:rPr>
              <w:t>建设思政课VR沉浸式红色资源平台；创建“红色薪传” 思政品牌，开展“平语近人”经典诵读等主题活动；开设“时习之”在线学习专栏，打造指尖上的“学习社”；建设“新芽”文明实践中心，开展社会实践和志愿服务。实施“个十百千”项目，培育1名省级高校思想政治理论课年度影响力人物、10名校级思政课程教学名师、100名课程思政教学骨干、1000名思政课学习标兵，开展“三巡”工作。</w:t>
            </w:r>
          </w:p>
        </w:tc>
        <w:tc>
          <w:tcPr>
            <w:tcW w:w="1410"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马克思主义学院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 w:type="dxa"/>
            <w:vMerge w:val="continue"/>
            <w:vAlign w:val="center"/>
          </w:tcPr>
          <w:p>
            <w:pPr>
              <w:spacing w:line="260" w:lineRule="exact"/>
              <w:jc w:val="center"/>
              <w:rPr>
                <w:rFonts w:ascii="仿宋" w:hAnsi="仿宋" w:eastAsia="仿宋" w:cs="仿宋"/>
                <w:b/>
                <w:szCs w:val="21"/>
              </w:rPr>
            </w:pPr>
          </w:p>
        </w:tc>
        <w:tc>
          <w:tcPr>
            <w:tcW w:w="1900" w:type="dxa"/>
            <w:vAlign w:val="center"/>
          </w:tcPr>
          <w:p>
            <w:pPr>
              <w:spacing w:line="260" w:lineRule="exact"/>
              <w:jc w:val="left"/>
              <w:rPr>
                <w:rFonts w:ascii="仿宋" w:hAnsi="仿宋" w:eastAsia="仿宋" w:cs="仿宋"/>
                <w:bCs/>
                <w:szCs w:val="21"/>
              </w:rPr>
            </w:pPr>
            <w:r>
              <w:rPr>
                <w:rFonts w:hint="eastAsia" w:ascii="仿宋" w:hAnsi="仿宋" w:eastAsia="仿宋" w:cs="仿宋"/>
                <w:bCs/>
                <w:szCs w:val="21"/>
              </w:rPr>
              <w:t>实施“数字树人”工程，形成“三全育人”新格局</w:t>
            </w:r>
          </w:p>
        </w:tc>
        <w:tc>
          <w:tcPr>
            <w:tcW w:w="4305" w:type="dxa"/>
            <w:vAlign w:val="center"/>
          </w:tcPr>
          <w:p>
            <w:pPr>
              <w:spacing w:line="260" w:lineRule="exact"/>
              <w:rPr>
                <w:rFonts w:ascii="仿宋" w:hAnsi="仿宋" w:eastAsia="仿宋" w:cs="仿宋"/>
                <w:bCs/>
                <w:szCs w:val="21"/>
              </w:rPr>
            </w:pPr>
            <w:r>
              <w:rPr>
                <w:rFonts w:hint="eastAsia" w:ascii="仿宋" w:hAnsi="仿宋" w:eastAsia="仿宋" w:cs="仿宋"/>
                <w:bCs/>
                <w:szCs w:val="21"/>
              </w:rPr>
              <w:t>深化思政课堂教学改革，完善课程标准，完成院级资源库以及精品课程建设。强化思政实践教学，利用周末、寒暑假引导学生走出校门、深入群众、深入实际，开展理论宣传、红色之旅、社会调查、志愿服务、公益活动、专业课实习等；强化教学实践环节，建立一整套实践教学制度与文件，实现实践教学课程化。推进课程思政教学改革试点，各专业遴选3门以上的课程思政示范课。</w:t>
            </w:r>
          </w:p>
        </w:tc>
        <w:tc>
          <w:tcPr>
            <w:tcW w:w="1410"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马克思主义学院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 w:type="dxa"/>
            <w:vMerge w:val="continue"/>
            <w:vAlign w:val="center"/>
          </w:tcPr>
          <w:p>
            <w:pPr>
              <w:spacing w:line="260" w:lineRule="exact"/>
              <w:jc w:val="center"/>
              <w:rPr>
                <w:rFonts w:ascii="仿宋" w:hAnsi="仿宋" w:eastAsia="仿宋" w:cs="仿宋"/>
                <w:b/>
                <w:szCs w:val="21"/>
              </w:rPr>
            </w:pPr>
          </w:p>
        </w:tc>
        <w:tc>
          <w:tcPr>
            <w:tcW w:w="1900" w:type="dxa"/>
            <w:vAlign w:val="center"/>
          </w:tcPr>
          <w:p>
            <w:pPr>
              <w:spacing w:line="260" w:lineRule="exact"/>
              <w:jc w:val="left"/>
              <w:rPr>
                <w:rFonts w:ascii="仿宋" w:hAnsi="仿宋" w:eastAsia="仿宋" w:cs="仿宋"/>
                <w:bCs/>
                <w:szCs w:val="21"/>
              </w:rPr>
            </w:pPr>
            <w:r>
              <w:rPr>
                <w:rFonts w:hint="eastAsia" w:ascii="仿宋" w:hAnsi="仿宋" w:eastAsia="仿宋" w:cs="仿宋"/>
                <w:bCs/>
                <w:szCs w:val="21"/>
              </w:rPr>
              <w:t>构建“五维全才”体系，培养“五育并举”综合型人才</w:t>
            </w:r>
          </w:p>
        </w:tc>
        <w:tc>
          <w:tcPr>
            <w:tcW w:w="4305" w:type="dxa"/>
            <w:vAlign w:val="center"/>
          </w:tcPr>
          <w:p>
            <w:pPr>
              <w:spacing w:line="260" w:lineRule="exact"/>
              <w:rPr>
                <w:rFonts w:ascii="仿宋" w:hAnsi="仿宋" w:eastAsia="仿宋" w:cs="仿宋"/>
                <w:bCs/>
                <w:szCs w:val="21"/>
              </w:rPr>
            </w:pPr>
            <w:r>
              <w:rPr>
                <w:rFonts w:hint="eastAsia" w:ascii="仿宋" w:hAnsi="仿宋" w:eastAsia="仿宋" w:cs="仿宋"/>
                <w:bCs/>
                <w:szCs w:val="21"/>
              </w:rPr>
              <w:t>建立体育、美育发展中心。</w:t>
            </w:r>
          </w:p>
        </w:tc>
        <w:tc>
          <w:tcPr>
            <w:tcW w:w="1410" w:type="dxa"/>
            <w:vAlign w:val="center"/>
          </w:tcPr>
          <w:p>
            <w:pPr>
              <w:spacing w:line="260" w:lineRule="exact"/>
              <w:jc w:val="center"/>
              <w:rPr>
                <w:rFonts w:ascii="仿宋" w:hAnsi="仿宋" w:eastAsia="仿宋" w:cs="仿宋"/>
                <w:bCs/>
                <w:szCs w:val="21"/>
              </w:rPr>
            </w:pPr>
            <w:r>
              <w:rPr>
                <w:rFonts w:ascii="仿宋" w:hAnsi="仿宋" w:eastAsia="仿宋" w:cs="仿宋"/>
                <w:bCs/>
                <w:szCs w:val="21"/>
              </w:rPr>
              <w:t>人文学院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 w:type="dxa"/>
            <w:vMerge w:val="restart"/>
            <w:vAlign w:val="center"/>
          </w:tcPr>
          <w:p>
            <w:pPr>
              <w:spacing w:line="260" w:lineRule="exact"/>
              <w:jc w:val="center"/>
              <w:rPr>
                <w:rFonts w:ascii="仿宋" w:hAnsi="仿宋" w:eastAsia="仿宋" w:cs="仿宋"/>
                <w:b/>
                <w:szCs w:val="21"/>
              </w:rPr>
            </w:pPr>
            <w:r>
              <w:rPr>
                <w:rFonts w:hint="eastAsia" w:ascii="仿宋" w:hAnsi="仿宋" w:eastAsia="仿宋" w:cs="仿宋"/>
                <w:b/>
                <w:szCs w:val="21"/>
              </w:rPr>
              <w:t>2025</w:t>
            </w:r>
          </w:p>
        </w:tc>
        <w:tc>
          <w:tcPr>
            <w:tcW w:w="1900" w:type="dxa"/>
            <w:vAlign w:val="center"/>
          </w:tcPr>
          <w:p>
            <w:pPr>
              <w:spacing w:line="260" w:lineRule="exact"/>
              <w:jc w:val="left"/>
              <w:rPr>
                <w:rFonts w:ascii="仿宋" w:hAnsi="仿宋" w:eastAsia="仿宋" w:cs="仿宋"/>
                <w:bCs/>
                <w:szCs w:val="21"/>
              </w:rPr>
            </w:pPr>
            <w:r>
              <w:rPr>
                <w:rFonts w:hint="eastAsia" w:ascii="仿宋" w:hAnsi="仿宋" w:eastAsia="仿宋" w:cs="仿宋"/>
                <w:bCs/>
                <w:szCs w:val="21"/>
              </w:rPr>
              <w:t>实施“铸魂育人”工程，落实“三进”工作新要求</w:t>
            </w:r>
          </w:p>
        </w:tc>
        <w:tc>
          <w:tcPr>
            <w:tcW w:w="4305" w:type="dxa"/>
            <w:vAlign w:val="center"/>
          </w:tcPr>
          <w:p>
            <w:pPr>
              <w:spacing w:line="260" w:lineRule="exact"/>
              <w:rPr>
                <w:rFonts w:ascii="仿宋" w:hAnsi="仿宋" w:eastAsia="仿宋" w:cs="仿宋"/>
                <w:bCs/>
                <w:szCs w:val="21"/>
              </w:rPr>
            </w:pPr>
            <w:r>
              <w:rPr>
                <w:rFonts w:hint="eastAsia" w:ascii="仿宋" w:hAnsi="仿宋" w:eastAsia="仿宋" w:cs="仿宋"/>
                <w:bCs/>
                <w:szCs w:val="21"/>
              </w:rPr>
              <w:t>全力打造“1234”学习项目，重点培育“青年学习”研究会1个理论社团，着力打造“3月志愿服务”“9 月入学教育”2个新思想主题教育实践月，创新实施“青听习语”“青锋讲习”“青春践习”3大学习实践活动，全面开展“领导干部上讲台”“先锋讲坛”“道德讲堂”“青春讲坛”4讲活动。每年开展专题学习教育10次、主题实践活动20场、各层次宣讲活动50场。通过全面实施“1234”学习项目，广泛凝聚青年，真正实现习近平新时代中国特色社会主义思想入脑、入心、铸魂、化行。</w:t>
            </w:r>
          </w:p>
        </w:tc>
        <w:tc>
          <w:tcPr>
            <w:tcW w:w="1410"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马克思主义学院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 w:type="dxa"/>
            <w:vMerge w:val="continue"/>
            <w:vAlign w:val="center"/>
          </w:tcPr>
          <w:p>
            <w:pPr>
              <w:spacing w:line="260" w:lineRule="exact"/>
              <w:jc w:val="center"/>
              <w:rPr>
                <w:rFonts w:ascii="仿宋" w:hAnsi="仿宋" w:eastAsia="仿宋" w:cs="仿宋"/>
                <w:bCs/>
                <w:szCs w:val="21"/>
              </w:rPr>
            </w:pPr>
          </w:p>
        </w:tc>
        <w:tc>
          <w:tcPr>
            <w:tcW w:w="1900" w:type="dxa"/>
            <w:vAlign w:val="center"/>
          </w:tcPr>
          <w:p>
            <w:pPr>
              <w:spacing w:line="260" w:lineRule="exact"/>
              <w:jc w:val="left"/>
              <w:rPr>
                <w:rFonts w:ascii="仿宋" w:hAnsi="仿宋" w:eastAsia="仿宋" w:cs="仿宋"/>
                <w:bCs/>
                <w:szCs w:val="21"/>
              </w:rPr>
            </w:pPr>
            <w:r>
              <w:rPr>
                <w:rFonts w:hint="eastAsia" w:ascii="仿宋" w:hAnsi="仿宋" w:eastAsia="仿宋" w:cs="仿宋"/>
                <w:bCs/>
                <w:szCs w:val="21"/>
              </w:rPr>
              <w:t>实施“数字树人”工程，形成“三全育人”新格局</w:t>
            </w:r>
          </w:p>
        </w:tc>
        <w:tc>
          <w:tcPr>
            <w:tcW w:w="4305" w:type="dxa"/>
            <w:vAlign w:val="center"/>
          </w:tcPr>
          <w:p>
            <w:pPr>
              <w:spacing w:line="260" w:lineRule="exact"/>
              <w:rPr>
                <w:rFonts w:ascii="仿宋" w:hAnsi="仿宋" w:eastAsia="仿宋" w:cs="仿宋"/>
                <w:bCs/>
                <w:szCs w:val="21"/>
              </w:rPr>
            </w:pPr>
            <w:r>
              <w:rPr>
                <w:rFonts w:hint="eastAsia" w:ascii="仿宋" w:hAnsi="仿宋" w:eastAsia="仿宋" w:cs="仿宋"/>
                <w:bCs/>
                <w:szCs w:val="21"/>
              </w:rPr>
              <w:t>把心理健康教育课程纳入学校整体教学计划，实现心理健康知识教育全覆盖。研究梳理各管理岗位的育人元素，编制岗位说明书，明确管理育人的内容和路径。 研究梳理各类服务岗位所承载的育人功能，并作为工作的职责要求，体现在聘用、培训、考核等各环节；落实服务目标责任制，把服务质量和育人效果作为评价服务岗位效能的依据和标准。</w:t>
            </w:r>
          </w:p>
        </w:tc>
        <w:tc>
          <w:tcPr>
            <w:tcW w:w="1410"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教务处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 w:type="dxa"/>
            <w:vMerge w:val="continue"/>
            <w:vAlign w:val="center"/>
          </w:tcPr>
          <w:p>
            <w:pPr>
              <w:spacing w:line="260" w:lineRule="exact"/>
              <w:jc w:val="center"/>
              <w:rPr>
                <w:rFonts w:ascii="仿宋" w:hAnsi="仿宋" w:eastAsia="仿宋" w:cs="仿宋"/>
                <w:bCs/>
                <w:szCs w:val="21"/>
              </w:rPr>
            </w:pPr>
          </w:p>
        </w:tc>
        <w:tc>
          <w:tcPr>
            <w:tcW w:w="1900" w:type="dxa"/>
            <w:vAlign w:val="center"/>
          </w:tcPr>
          <w:p>
            <w:pPr>
              <w:spacing w:line="260" w:lineRule="exact"/>
              <w:jc w:val="left"/>
              <w:rPr>
                <w:rFonts w:ascii="仿宋" w:hAnsi="仿宋" w:eastAsia="仿宋" w:cs="仿宋"/>
                <w:bCs/>
                <w:szCs w:val="21"/>
              </w:rPr>
            </w:pPr>
            <w:r>
              <w:rPr>
                <w:rFonts w:hint="eastAsia" w:ascii="仿宋" w:hAnsi="仿宋" w:eastAsia="仿宋" w:cs="仿宋"/>
                <w:bCs/>
                <w:szCs w:val="21"/>
              </w:rPr>
              <w:t>构建“五维全才”体系，培养“五育并举”综合型人才</w:t>
            </w:r>
          </w:p>
        </w:tc>
        <w:tc>
          <w:tcPr>
            <w:tcW w:w="4305" w:type="dxa"/>
            <w:vAlign w:val="center"/>
          </w:tcPr>
          <w:p>
            <w:pPr>
              <w:spacing w:line="260" w:lineRule="exact"/>
              <w:rPr>
                <w:rFonts w:ascii="仿宋" w:hAnsi="仿宋" w:eastAsia="仿宋" w:cs="仿宋"/>
                <w:bCs/>
                <w:szCs w:val="21"/>
              </w:rPr>
            </w:pPr>
            <w:r>
              <w:rPr>
                <w:rFonts w:hint="eastAsia" w:ascii="仿宋" w:hAnsi="仿宋" w:eastAsia="仿宋" w:cs="仿宋"/>
                <w:bCs/>
                <w:szCs w:val="21"/>
              </w:rPr>
              <w:t>建立劳育发展中心。</w:t>
            </w:r>
          </w:p>
        </w:tc>
        <w:tc>
          <w:tcPr>
            <w:tcW w:w="1410"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教务处</w:t>
            </w:r>
          </w:p>
        </w:tc>
      </w:tr>
    </w:tbl>
    <w:p>
      <w:pPr>
        <w:keepNext/>
        <w:keepLines/>
        <w:spacing w:line="540" w:lineRule="exact"/>
        <w:ind w:firstLine="562" w:firstLineChars="200"/>
        <w:outlineLvl w:val="3"/>
        <w:rPr>
          <w:rFonts w:ascii="Times New Roman" w:hAnsi="Times New Roman" w:eastAsia="仿宋"/>
          <w:b/>
          <w:sz w:val="28"/>
          <w:szCs w:val="28"/>
        </w:rPr>
      </w:pPr>
      <w:r>
        <w:rPr>
          <w:rFonts w:hint="eastAsia" w:ascii="Times New Roman" w:hAnsi="Times New Roman" w:eastAsia="仿宋"/>
          <w:b/>
          <w:sz w:val="28"/>
          <w:szCs w:val="28"/>
        </w:rPr>
        <w:t>（6）预期成效及资金测算</w:t>
      </w:r>
    </w:p>
    <w:tbl>
      <w:tblPr>
        <w:tblStyle w:val="16"/>
        <w:tblW w:w="8428" w:type="dxa"/>
        <w:jc w:val="center"/>
        <w:tblLayout w:type="autofit"/>
        <w:tblCellMar>
          <w:top w:w="15" w:type="dxa"/>
          <w:left w:w="15" w:type="dxa"/>
          <w:bottom w:w="15" w:type="dxa"/>
          <w:right w:w="15" w:type="dxa"/>
        </w:tblCellMar>
      </w:tblPr>
      <w:tblGrid>
        <w:gridCol w:w="1200"/>
        <w:gridCol w:w="2276"/>
        <w:gridCol w:w="3401"/>
        <w:gridCol w:w="486"/>
        <w:gridCol w:w="564"/>
        <w:gridCol w:w="501"/>
      </w:tblGrid>
      <w:tr>
        <w:tblPrEx>
          <w:tblCellMar>
            <w:top w:w="15" w:type="dxa"/>
            <w:left w:w="15" w:type="dxa"/>
            <w:bottom w:w="15" w:type="dxa"/>
            <w:right w:w="15" w:type="dxa"/>
          </w:tblCellMar>
        </w:tblPrEx>
        <w:trPr>
          <w:trHeight w:val="301" w:hRule="atLeast"/>
          <w:jc w:val="center"/>
        </w:trPr>
        <w:tc>
          <w:tcPr>
            <w:tcW w:w="1200" w:type="dxa"/>
            <w:vMerge w:val="restart"/>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项目名称</w:t>
            </w:r>
          </w:p>
        </w:tc>
        <w:tc>
          <w:tcPr>
            <w:tcW w:w="2276" w:type="dxa"/>
            <w:vMerge w:val="restart"/>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主要建设内容</w:t>
            </w:r>
          </w:p>
        </w:tc>
        <w:tc>
          <w:tcPr>
            <w:tcW w:w="3401" w:type="dxa"/>
            <w:vMerge w:val="restart"/>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预期建设成效</w:t>
            </w:r>
          </w:p>
        </w:tc>
        <w:tc>
          <w:tcPr>
            <w:tcW w:w="1551" w:type="dxa"/>
            <w:gridSpan w:val="3"/>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建设资金安排表（万元）</w:t>
            </w:r>
          </w:p>
        </w:tc>
      </w:tr>
      <w:tr>
        <w:tblPrEx>
          <w:tblCellMar>
            <w:top w:w="15" w:type="dxa"/>
            <w:left w:w="15" w:type="dxa"/>
            <w:bottom w:w="15" w:type="dxa"/>
            <w:right w:w="15" w:type="dxa"/>
          </w:tblCellMar>
        </w:tblPrEx>
        <w:trPr>
          <w:trHeight w:val="286" w:hRule="atLeast"/>
          <w:jc w:val="center"/>
        </w:trPr>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jc w:val="center"/>
              <w:rPr>
                <w:rFonts w:ascii="仿宋" w:hAnsi="仿宋" w:eastAsia="仿宋" w:cs="仿宋"/>
                <w:b/>
                <w:bCs/>
                <w:color w:val="000000"/>
                <w:szCs w:val="21"/>
              </w:rPr>
            </w:pPr>
          </w:p>
        </w:tc>
        <w:tc>
          <w:tcPr>
            <w:tcW w:w="2276" w:type="dxa"/>
            <w:vMerge w:val="continue"/>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jc w:val="center"/>
              <w:rPr>
                <w:rFonts w:ascii="仿宋" w:hAnsi="仿宋" w:eastAsia="仿宋" w:cs="仿宋"/>
                <w:b/>
                <w:bCs/>
                <w:color w:val="000000"/>
                <w:szCs w:val="21"/>
              </w:rPr>
            </w:pPr>
          </w:p>
        </w:tc>
        <w:tc>
          <w:tcPr>
            <w:tcW w:w="3401" w:type="dxa"/>
            <w:vMerge w:val="continue"/>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jc w:val="center"/>
              <w:rPr>
                <w:rFonts w:ascii="仿宋" w:hAnsi="仿宋" w:eastAsia="仿宋" w:cs="仿宋"/>
                <w:b/>
                <w:bCs/>
                <w:color w:val="000000"/>
                <w:szCs w:val="21"/>
              </w:rPr>
            </w:pPr>
          </w:p>
        </w:tc>
        <w:tc>
          <w:tcPr>
            <w:tcW w:w="486" w:type="dxa"/>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kern w:val="0"/>
                <w:szCs w:val="21"/>
                <w:lang w:bidi="ar"/>
              </w:rPr>
            </w:pPr>
            <w:r>
              <w:rPr>
                <w:rFonts w:hint="eastAsia" w:ascii="仿宋" w:hAnsi="仿宋" w:eastAsia="仿宋" w:cs="仿宋"/>
                <w:b/>
                <w:bCs/>
                <w:color w:val="000000"/>
                <w:kern w:val="0"/>
                <w:szCs w:val="21"/>
                <w:lang w:bidi="ar"/>
              </w:rPr>
              <w:t>2023年</w:t>
            </w:r>
          </w:p>
        </w:tc>
        <w:tc>
          <w:tcPr>
            <w:tcW w:w="564" w:type="dxa"/>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2024年</w:t>
            </w:r>
          </w:p>
        </w:tc>
        <w:tc>
          <w:tcPr>
            <w:tcW w:w="501" w:type="dxa"/>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2025年</w:t>
            </w:r>
          </w:p>
        </w:tc>
      </w:tr>
      <w:tr>
        <w:tblPrEx>
          <w:tblCellMar>
            <w:top w:w="15" w:type="dxa"/>
            <w:left w:w="15" w:type="dxa"/>
            <w:bottom w:w="15" w:type="dxa"/>
            <w:right w:w="15" w:type="dxa"/>
          </w:tblCellMar>
        </w:tblPrEx>
        <w:trPr>
          <w:trHeight w:val="450" w:hRule="atLeast"/>
          <w:jc w:val="center"/>
        </w:trPr>
        <w:tc>
          <w:tcPr>
            <w:tcW w:w="120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Cs w:val="21"/>
              </w:rPr>
            </w:pPr>
            <w:r>
              <w:rPr>
                <w:rFonts w:hint="eastAsia" w:ascii="仿宋" w:hAnsi="仿宋" w:eastAsia="仿宋" w:cs="仿宋"/>
                <w:b/>
                <w:bCs/>
                <w:color w:val="000000"/>
                <w:szCs w:val="21"/>
              </w:rPr>
              <w:t>落实立德树人任务，实施“2+1”工程</w:t>
            </w:r>
          </w:p>
        </w:tc>
        <w:tc>
          <w:tcPr>
            <w:tcW w:w="2276" w:type="dxa"/>
            <w:tcBorders>
              <w:top w:val="single" w:color="000000" w:sz="4" w:space="0"/>
              <w:left w:val="single" w:color="000000" w:sz="4" w:space="0"/>
              <w:bottom w:val="single" w:color="000000" w:sz="4" w:space="0"/>
              <w:right w:val="single" w:color="000000" w:sz="4" w:space="0"/>
            </w:tcBorders>
            <w:vAlign w:val="center"/>
          </w:tcPr>
          <w:p>
            <w:pPr>
              <w:jc w:val="left"/>
              <w:rPr>
                <w:rFonts w:ascii="仿宋" w:hAnsi="仿宋" w:eastAsia="仿宋" w:cs="仿宋"/>
                <w:color w:val="000000"/>
                <w:szCs w:val="21"/>
              </w:rPr>
            </w:pPr>
            <w:r>
              <w:rPr>
                <w:rFonts w:hint="eastAsia" w:ascii="仿宋" w:hAnsi="仿宋" w:eastAsia="仿宋" w:cs="仿宋"/>
                <w:color w:val="000000"/>
                <w:szCs w:val="21"/>
              </w:rPr>
              <w:t>实施“铸魂育人”工程，落实“三进”工作新要求；实施“数字树人”工程，形成“三全育人”新格局；构建“五维全才”体系，培养“五育并举”综合型人才。</w:t>
            </w:r>
          </w:p>
        </w:tc>
        <w:tc>
          <w:tcPr>
            <w:tcW w:w="3401" w:type="dxa"/>
            <w:tcBorders>
              <w:top w:val="single" w:color="000000" w:sz="4" w:space="0"/>
              <w:left w:val="single" w:color="000000" w:sz="4" w:space="0"/>
              <w:bottom w:val="single" w:color="000000" w:sz="4" w:space="0"/>
              <w:right w:val="single" w:color="000000" w:sz="4" w:space="0"/>
            </w:tcBorders>
            <w:vAlign w:val="center"/>
          </w:tcPr>
          <w:p>
            <w:pPr>
              <w:jc w:val="left"/>
              <w:rPr>
                <w:rFonts w:ascii="仿宋" w:hAnsi="仿宋" w:eastAsia="仿宋" w:cs="仿宋"/>
                <w:color w:val="000000"/>
                <w:szCs w:val="21"/>
              </w:rPr>
            </w:pPr>
            <w:r>
              <w:rPr>
                <w:rFonts w:hint="eastAsia" w:ascii="仿宋" w:hAnsi="仿宋" w:eastAsia="仿宋" w:cs="仿宋"/>
                <w:color w:val="000000"/>
                <w:szCs w:val="21"/>
              </w:rPr>
              <w:t>实施“个十百千”工程，培育1名省级高校思想政治理论课年度影响力人物、10名校级思政课程教学名师、100名课程思政教学骨干、1000名思政课学习标兵；实施“1234”学习项目，每年开展专题学习教育10次、主题实践活动20场、各层次宣讲活动50场；建立一整套思政课实践教学制度与文件，各专业遴选3门以上的课程建设课程思政课示范课；形成不少于5个“五育并举”典型案例。</w:t>
            </w:r>
          </w:p>
        </w:tc>
        <w:tc>
          <w:tcPr>
            <w:tcW w:w="486"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Cs w:val="21"/>
              </w:rPr>
            </w:pPr>
            <w:r>
              <w:rPr>
                <w:rFonts w:hint="eastAsia" w:ascii="仿宋" w:hAnsi="仿宋" w:eastAsia="仿宋" w:cs="仿宋"/>
                <w:color w:val="000000"/>
                <w:szCs w:val="21"/>
              </w:rPr>
              <w:t>5</w:t>
            </w:r>
          </w:p>
        </w:tc>
        <w:tc>
          <w:tcPr>
            <w:tcW w:w="564"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Cs w:val="21"/>
              </w:rPr>
            </w:pPr>
            <w:r>
              <w:rPr>
                <w:rFonts w:hint="eastAsia" w:ascii="仿宋" w:hAnsi="仿宋" w:eastAsia="仿宋" w:cs="仿宋"/>
                <w:color w:val="000000"/>
                <w:szCs w:val="21"/>
              </w:rPr>
              <w:t>8</w:t>
            </w:r>
          </w:p>
        </w:tc>
        <w:tc>
          <w:tcPr>
            <w:tcW w:w="501"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Cs w:val="21"/>
              </w:rPr>
            </w:pPr>
            <w:r>
              <w:rPr>
                <w:rFonts w:hint="eastAsia" w:ascii="仿宋" w:hAnsi="仿宋" w:eastAsia="仿宋" w:cs="仿宋"/>
                <w:color w:val="000000"/>
                <w:szCs w:val="21"/>
              </w:rPr>
              <w:t>10</w:t>
            </w:r>
          </w:p>
        </w:tc>
      </w:tr>
    </w:tbl>
    <w:p>
      <w:pPr>
        <w:pStyle w:val="4"/>
        <w:ind w:firstLine="0" w:firstLineChars="0"/>
      </w:pPr>
      <w:bookmarkStart w:id="27" w:name="_Toc164347829"/>
      <w:r>
        <w:rPr>
          <w:rFonts w:hint="eastAsia"/>
        </w:rPr>
        <w:t>4.依法治校，学校治理水平提升项目</w:t>
      </w:r>
      <w:bookmarkEnd w:id="27"/>
    </w:p>
    <w:p>
      <w:pPr>
        <w:keepNext/>
        <w:keepLines/>
        <w:spacing w:line="540" w:lineRule="exact"/>
        <w:ind w:firstLine="562" w:firstLineChars="200"/>
        <w:outlineLvl w:val="3"/>
        <w:rPr>
          <w:rFonts w:ascii="Times New Roman" w:hAnsi="Times New Roman" w:eastAsia="仿宋"/>
          <w:b/>
          <w:sz w:val="28"/>
          <w:szCs w:val="28"/>
        </w:rPr>
      </w:pPr>
      <w:r>
        <w:rPr>
          <w:rFonts w:hint="eastAsia" w:ascii="Times New Roman" w:hAnsi="Times New Roman" w:eastAsia="仿宋"/>
          <w:b/>
          <w:sz w:val="28"/>
          <w:szCs w:val="28"/>
        </w:rPr>
        <w:t>（1）必要性和可行性</w:t>
      </w:r>
      <w:r>
        <w:rPr>
          <w:rFonts w:ascii="Times New Roman" w:hAnsi="Times New Roman" w:eastAsia="仿宋"/>
          <w:b/>
          <w:sz w:val="28"/>
          <w:szCs w:val="28"/>
        </w:rPr>
        <w:t xml:space="preserve"> </w:t>
      </w:r>
    </w:p>
    <w:p>
      <w:pPr>
        <w:spacing w:line="540" w:lineRule="exact"/>
        <w:ind w:firstLine="560"/>
        <w:rPr>
          <w:rFonts w:ascii="仿宋" w:hAnsi="仿宋" w:cs="仿宋"/>
          <w:bCs/>
          <w:sz w:val="28"/>
          <w:szCs w:val="28"/>
        </w:rPr>
      </w:pPr>
      <w:r>
        <w:rPr>
          <w:rFonts w:hint="eastAsia" w:ascii="仿宋" w:hAnsi="仿宋" w:eastAsia="仿宋" w:cs="仿宋"/>
          <w:bCs/>
          <w:sz w:val="28"/>
          <w:szCs w:val="28"/>
        </w:rPr>
        <w:t>2020年7月，教育部印发《关于进一步加强高等学校法治工作的意见》提出：随着高等教育改革的不断深入，学校办学自主权进一步落实，内部治理法治化、制度化、规范化的要求更为凸显，广大师生对民主、法治、公平、正义的诉求日益增长，参与学校治理和保障自身权益的愿望更加强烈。要求学校坚持以习近平新时代中国特色社会主义思想为指导，深入学习贯彻习近平总书记全面依法治国新理念新思想新战略和关于教育的重要论述，深刻认识新形势新变化提出的新任务新要求，切实把依法治理作为学校治理的基本理念和基本方式，融入、贯穿学校工作全过程和各方面。</w:t>
      </w:r>
    </w:p>
    <w:p>
      <w:pPr>
        <w:spacing w:line="540" w:lineRule="exact"/>
        <w:ind w:firstLine="560" w:firstLineChars="200"/>
        <w:rPr>
          <w:rFonts w:ascii="仿宋" w:hAnsi="仿宋" w:cs="仿宋"/>
          <w:bCs/>
          <w:sz w:val="28"/>
          <w:szCs w:val="28"/>
        </w:rPr>
      </w:pPr>
      <w:r>
        <w:rPr>
          <w:rFonts w:hint="eastAsia" w:ascii="仿宋" w:hAnsi="仿宋" w:eastAsia="仿宋" w:cs="仿宋"/>
          <w:bCs/>
          <w:sz w:val="28"/>
          <w:szCs w:val="28"/>
        </w:rPr>
        <w:t>2015年 8月，教育部印发《职业院校管理水平提升行动计划（2015-2018 年）》。2016年3月，广东省教育厅发布《关于实施〈职业院校管理水平提升行动计划（2015-2018 年）〉的通知》。学校早在 2017 年启动“放管服”改革，先后实施《惠州工程职业学院学校编制聘用人员管理办法（2021年修订）》《惠州工程职业学院职称评审办法（试行）》《惠州工程职业学院教职工工作绩效考核办法》等一系列承接“放管服”改革的配套制度。2023年，学校完成学校章程修订工作。上级相关文件为我校规范化管理和提高治理水平提供了明确指引和依据，学校前期改革成效也使得依法治校项目建设切实可行。</w:t>
      </w:r>
    </w:p>
    <w:p>
      <w:pPr>
        <w:keepNext/>
        <w:keepLines/>
        <w:spacing w:line="540" w:lineRule="exact"/>
        <w:ind w:firstLine="562" w:firstLineChars="200"/>
        <w:outlineLvl w:val="3"/>
        <w:rPr>
          <w:rFonts w:ascii="Times New Roman" w:hAnsi="Times New Roman" w:eastAsia="仿宋"/>
          <w:b/>
          <w:sz w:val="28"/>
          <w:szCs w:val="28"/>
        </w:rPr>
      </w:pPr>
      <w:r>
        <w:rPr>
          <w:rFonts w:hint="eastAsia" w:ascii="Times New Roman" w:hAnsi="Times New Roman" w:eastAsia="仿宋"/>
          <w:b/>
          <w:sz w:val="28"/>
          <w:szCs w:val="28"/>
        </w:rPr>
        <w:t xml:space="preserve">（2）拟解决的关键问题 </w:t>
      </w:r>
    </w:p>
    <w:p>
      <w:pPr>
        <w:spacing w:line="540" w:lineRule="exact"/>
        <w:ind w:firstLine="560" w:firstLineChars="200"/>
        <w:rPr>
          <w:rFonts w:ascii="仿宋" w:hAnsi="仿宋" w:cs="仿宋"/>
          <w:bCs/>
          <w:sz w:val="28"/>
          <w:szCs w:val="28"/>
        </w:rPr>
      </w:pPr>
      <w:r>
        <w:rPr>
          <w:rFonts w:ascii="仿宋" w:hAnsi="仿宋" w:eastAsia="仿宋" w:cs="仿宋"/>
          <w:bCs/>
          <w:sz w:val="28"/>
          <w:szCs w:val="28"/>
        </w:rPr>
        <w:t>扎实推进依法治教、依法办学、依法治校，不断提升学校治理体系和治理能力现代化水平，整合</w:t>
      </w:r>
      <w:r>
        <w:rPr>
          <w:rFonts w:hint="eastAsia" w:ascii="仿宋" w:hAnsi="仿宋" w:eastAsia="仿宋" w:cs="仿宋"/>
          <w:bCs/>
          <w:sz w:val="28"/>
          <w:szCs w:val="28"/>
        </w:rPr>
        <w:t>内部法治教育资源，解决在依法治校协同育人方面面临资源分散、整合不足的问题，强化特色创建，提升学校法治教育特色品牌形象，解决法治教育工作缺乏创新和差异化的问题；加强师生法治意识培养，完善我校质量保障机制，加快学校章程建设，完善治理制度标准，强化治理制度标准落实。</w:t>
      </w:r>
    </w:p>
    <w:p>
      <w:pPr>
        <w:keepNext/>
        <w:keepLines/>
        <w:spacing w:line="540" w:lineRule="exact"/>
        <w:ind w:firstLine="562" w:firstLineChars="200"/>
        <w:outlineLvl w:val="3"/>
        <w:rPr>
          <w:rFonts w:ascii="Times New Roman" w:hAnsi="Times New Roman" w:eastAsia="仿宋"/>
          <w:b/>
          <w:sz w:val="28"/>
          <w:szCs w:val="28"/>
        </w:rPr>
      </w:pPr>
      <w:r>
        <w:rPr>
          <w:rFonts w:hint="eastAsia" w:ascii="Times New Roman" w:hAnsi="Times New Roman" w:eastAsia="仿宋"/>
          <w:b/>
          <w:sz w:val="28"/>
          <w:szCs w:val="28"/>
        </w:rPr>
        <w:t xml:space="preserve">（3）建设目标 </w:t>
      </w:r>
    </w:p>
    <w:p>
      <w:pPr>
        <w:spacing w:line="540" w:lineRule="exact"/>
        <w:ind w:firstLine="560" w:firstLineChars="200"/>
        <w:rPr>
          <w:rFonts w:ascii="仿宋" w:hAnsi="仿宋" w:cs="仿宋"/>
          <w:bCs/>
          <w:sz w:val="28"/>
          <w:szCs w:val="28"/>
        </w:rPr>
      </w:pPr>
      <w:r>
        <w:rPr>
          <w:rFonts w:ascii="仿宋" w:hAnsi="仿宋" w:eastAsia="仿宋" w:cs="仿宋"/>
          <w:bCs/>
          <w:sz w:val="28"/>
          <w:szCs w:val="28"/>
        </w:rPr>
        <w:t>坚持和完善校党委领导下的校长负责制，进一步优化党委会、校长办公会议事规则，明确法务人员参与学校重要决策工作机制，强化决策风险防范能力，切实提高管理决策科学化、民主化、法治化水平。</w:t>
      </w:r>
      <w:r>
        <w:rPr>
          <w:rFonts w:hint="eastAsia" w:ascii="仿宋" w:hAnsi="仿宋" w:eastAsia="仿宋" w:cs="仿宋"/>
          <w:bCs/>
          <w:sz w:val="28"/>
          <w:szCs w:val="28"/>
        </w:rPr>
        <w:t>整合学校内部法治教育资源，构建一个高效、有序的内部资源整合体系，实现各部门间的法治教育资源共享和优势互补，促进法治教育工作的深入开展，提升师生的法治意识和法律素养，全面营造法治校园氛围。推动学校治理体系和机制的完善，增强学校对法治建设的支持和保障，提升学校的品牌形象和社会影响力，实现学校依法治校工作全面发展和提升；完善学校质量保障机制，加快学校章程建设，完善治理制度标准，强化治理制度标准的落实，以确保法治校园建设取得实效，提升学校治理能力和水平。</w:t>
      </w:r>
    </w:p>
    <w:p>
      <w:pPr>
        <w:keepNext/>
        <w:keepLines/>
        <w:spacing w:line="540" w:lineRule="exact"/>
        <w:ind w:firstLine="562" w:firstLineChars="200"/>
        <w:outlineLvl w:val="3"/>
        <w:rPr>
          <w:rFonts w:ascii="Times New Roman" w:hAnsi="Times New Roman" w:eastAsia="仿宋"/>
          <w:b/>
          <w:sz w:val="28"/>
          <w:szCs w:val="28"/>
        </w:rPr>
      </w:pPr>
      <w:r>
        <w:rPr>
          <w:rFonts w:hint="eastAsia" w:ascii="Times New Roman" w:hAnsi="Times New Roman" w:eastAsia="仿宋"/>
          <w:b/>
          <w:sz w:val="28"/>
          <w:szCs w:val="28"/>
        </w:rPr>
        <w:t>（4）重点建设任务</w:t>
      </w:r>
    </w:p>
    <w:p>
      <w:pPr>
        <w:spacing w:line="540" w:lineRule="exact"/>
        <w:ind w:firstLine="562" w:firstLineChars="200"/>
        <w:rPr>
          <w:rFonts w:ascii="仿宋" w:hAnsi="仿宋" w:eastAsia="仿宋" w:cs="仿宋"/>
          <w:b/>
          <w:sz w:val="28"/>
          <w:szCs w:val="28"/>
        </w:rPr>
      </w:pPr>
      <w:r>
        <w:rPr>
          <w:rFonts w:hint="eastAsia" w:ascii="仿宋" w:hAnsi="仿宋" w:eastAsia="仿宋" w:cs="仿宋"/>
          <w:b/>
          <w:sz w:val="28"/>
          <w:szCs w:val="28"/>
        </w:rPr>
        <w:fldChar w:fldCharType="begin"/>
      </w:r>
      <w:r>
        <w:rPr>
          <w:rFonts w:hint="eastAsia" w:ascii="仿宋" w:hAnsi="仿宋" w:eastAsia="仿宋" w:cs="仿宋"/>
          <w:b/>
          <w:sz w:val="28"/>
          <w:szCs w:val="28"/>
        </w:rPr>
        <w:instrText xml:space="preserve"> = 1 \* GB3 </w:instrText>
      </w:r>
      <w:r>
        <w:rPr>
          <w:rFonts w:hint="eastAsia" w:ascii="仿宋" w:hAnsi="仿宋" w:eastAsia="仿宋" w:cs="仿宋"/>
          <w:b/>
          <w:sz w:val="28"/>
          <w:szCs w:val="28"/>
        </w:rPr>
        <w:fldChar w:fldCharType="separate"/>
      </w:r>
      <w:r>
        <w:rPr>
          <w:rFonts w:hint="eastAsia" w:ascii="仿宋" w:hAnsi="仿宋" w:eastAsia="仿宋" w:cs="仿宋"/>
          <w:b/>
          <w:sz w:val="28"/>
          <w:szCs w:val="28"/>
        </w:rPr>
        <w:t>①</w:t>
      </w:r>
      <w:r>
        <w:rPr>
          <w:rFonts w:hint="eastAsia" w:ascii="仿宋" w:hAnsi="仿宋" w:eastAsia="仿宋" w:cs="仿宋"/>
          <w:b/>
          <w:sz w:val="28"/>
          <w:szCs w:val="28"/>
        </w:rPr>
        <w:fldChar w:fldCharType="end"/>
      </w:r>
      <w:r>
        <w:rPr>
          <w:rFonts w:hint="eastAsia" w:ascii="仿宋" w:hAnsi="仿宋" w:eastAsia="仿宋" w:cs="仿宋"/>
          <w:b/>
          <w:sz w:val="28"/>
          <w:szCs w:val="28"/>
        </w:rPr>
        <w:t xml:space="preserve"> 整合学校内部法治教育资源，加强法制教育</w:t>
      </w:r>
    </w:p>
    <w:p>
      <w:pPr>
        <w:spacing w:line="540" w:lineRule="exact"/>
        <w:ind w:firstLine="560" w:firstLineChars="200"/>
        <w:rPr>
          <w:rFonts w:ascii="仿宋" w:hAnsi="仿宋" w:cs="仿宋"/>
          <w:bCs/>
          <w:sz w:val="28"/>
          <w:szCs w:val="28"/>
        </w:rPr>
      </w:pPr>
      <w:r>
        <w:rPr>
          <w:rFonts w:ascii="仿宋" w:hAnsi="仿宋" w:eastAsia="仿宋" w:cs="仿宋"/>
          <w:bCs/>
          <w:sz w:val="28"/>
          <w:szCs w:val="28"/>
        </w:rPr>
        <w:t>探索构建“顶层设计—部门联动—全面覆盖”的法治宣传教育工作机制。将法治理论学习和学校法治建设列入</w:t>
      </w:r>
      <w:r>
        <w:rPr>
          <w:rFonts w:hint="eastAsia" w:ascii="仿宋" w:hAnsi="仿宋" w:eastAsia="仿宋" w:cs="仿宋"/>
          <w:bCs/>
          <w:sz w:val="28"/>
          <w:szCs w:val="28"/>
        </w:rPr>
        <w:t>党委理论学习中心组年度学习计划，</w:t>
      </w:r>
      <w:r>
        <w:rPr>
          <w:rFonts w:ascii="仿宋" w:hAnsi="仿宋" w:eastAsia="仿宋" w:cs="仿宋"/>
          <w:bCs/>
          <w:sz w:val="28"/>
          <w:szCs w:val="28"/>
        </w:rPr>
        <w:t>及时优化调整学校普法工作领导小组，认真落实领导干部学法用法制度，切实增强法治思维和依法治校能力。</w:t>
      </w:r>
      <w:r>
        <w:rPr>
          <w:rFonts w:hint="eastAsia" w:ascii="仿宋" w:hAnsi="仿宋" w:eastAsia="仿宋" w:cs="仿宋"/>
          <w:bCs/>
          <w:sz w:val="28"/>
          <w:szCs w:val="28"/>
        </w:rPr>
        <w:t>设立专门的机构或部门，负责统筹和协调法治教育资源的整合和管理，整合校内外资源，</w:t>
      </w:r>
      <w:r>
        <w:rPr>
          <w:rFonts w:ascii="仿宋" w:hAnsi="仿宋" w:eastAsia="仿宋" w:cs="仿宋"/>
          <w:bCs/>
          <w:sz w:val="28"/>
          <w:szCs w:val="28"/>
        </w:rPr>
        <w:t>各部门和机构共同承担法治教育工作，形成资源共享、协同配合的工作格局。</w:t>
      </w:r>
    </w:p>
    <w:p>
      <w:pPr>
        <w:spacing w:line="540" w:lineRule="exact"/>
        <w:ind w:firstLine="562" w:firstLineChars="200"/>
        <w:rPr>
          <w:rFonts w:ascii="仿宋" w:hAnsi="仿宋" w:eastAsia="仿宋" w:cs="仿宋"/>
          <w:b/>
          <w:sz w:val="28"/>
          <w:szCs w:val="28"/>
        </w:rPr>
      </w:pPr>
      <w:r>
        <w:rPr>
          <w:rFonts w:hint="eastAsia" w:ascii="仿宋" w:hAnsi="仿宋" w:eastAsia="仿宋" w:cs="仿宋"/>
          <w:b/>
          <w:sz w:val="28"/>
          <w:szCs w:val="28"/>
        </w:rPr>
        <w:fldChar w:fldCharType="begin"/>
      </w:r>
      <w:r>
        <w:rPr>
          <w:rFonts w:hint="eastAsia" w:ascii="仿宋" w:hAnsi="仿宋" w:eastAsia="仿宋" w:cs="仿宋"/>
          <w:b/>
          <w:sz w:val="28"/>
          <w:szCs w:val="28"/>
        </w:rPr>
        <w:instrText xml:space="preserve"> = 2 \* GB3 </w:instrText>
      </w:r>
      <w:r>
        <w:rPr>
          <w:rFonts w:hint="eastAsia" w:ascii="仿宋" w:hAnsi="仿宋" w:eastAsia="仿宋" w:cs="仿宋"/>
          <w:b/>
          <w:sz w:val="28"/>
          <w:szCs w:val="28"/>
        </w:rPr>
        <w:fldChar w:fldCharType="separate"/>
      </w:r>
      <w:r>
        <w:rPr>
          <w:rFonts w:hint="eastAsia" w:ascii="仿宋" w:hAnsi="仿宋" w:eastAsia="仿宋" w:cs="仿宋"/>
          <w:b/>
          <w:sz w:val="28"/>
          <w:szCs w:val="28"/>
        </w:rPr>
        <w:t>②</w:t>
      </w:r>
      <w:r>
        <w:rPr>
          <w:rFonts w:hint="eastAsia" w:ascii="仿宋" w:hAnsi="仿宋" w:eastAsia="仿宋" w:cs="仿宋"/>
          <w:b/>
          <w:sz w:val="28"/>
          <w:szCs w:val="28"/>
        </w:rPr>
        <w:fldChar w:fldCharType="end"/>
      </w:r>
      <w:r>
        <w:rPr>
          <w:rFonts w:hint="eastAsia" w:ascii="仿宋" w:hAnsi="仿宋" w:eastAsia="仿宋" w:cs="仿宋"/>
          <w:b/>
          <w:sz w:val="28"/>
          <w:szCs w:val="28"/>
        </w:rPr>
        <w:t xml:space="preserve"> 完善质量保障机制</w:t>
      </w:r>
    </w:p>
    <w:p>
      <w:pPr>
        <w:spacing w:line="540" w:lineRule="exact"/>
        <w:ind w:firstLine="560" w:firstLineChars="200"/>
        <w:rPr>
          <w:rFonts w:ascii="仿宋" w:hAnsi="仿宋" w:cs="仿宋"/>
          <w:bCs/>
          <w:sz w:val="28"/>
          <w:szCs w:val="28"/>
        </w:rPr>
      </w:pPr>
      <w:r>
        <w:rPr>
          <w:rFonts w:ascii="仿宋" w:hAnsi="仿宋" w:eastAsia="仿宋" w:cs="仿宋"/>
          <w:bCs/>
          <w:sz w:val="28"/>
          <w:szCs w:val="28"/>
        </w:rPr>
        <w:t>紧密对接国家科教兴国、人才强国及创新驱动发展三大战略，贯彻落实国家职业教育改革重大部署，</w:t>
      </w:r>
      <w:r>
        <w:rPr>
          <w:rFonts w:hint="eastAsia" w:ascii="仿宋" w:hAnsi="仿宋" w:eastAsia="仿宋" w:cs="仿宋"/>
          <w:bCs/>
          <w:sz w:val="28"/>
          <w:szCs w:val="28"/>
        </w:rPr>
        <w:t>加快完善学校章程建设，加大保障力度，强化常态监控，着力构建决策系统、质量标准系统、质量支持系统、质量运行系统、质量监控系统、质量评估系统、信息反馈系统等7大系统的“七位一体”质量保障体系，</w:t>
      </w:r>
      <w:r>
        <w:rPr>
          <w:rFonts w:ascii="仿宋" w:hAnsi="仿宋" w:eastAsia="仿宋" w:cs="仿宋"/>
          <w:bCs/>
          <w:sz w:val="28"/>
          <w:szCs w:val="28"/>
        </w:rPr>
        <w:t>服务人的全面发展和学校高质量发展。</w:t>
      </w:r>
    </w:p>
    <w:p>
      <w:pPr>
        <w:spacing w:line="540" w:lineRule="exact"/>
        <w:ind w:firstLine="562" w:firstLineChars="200"/>
        <w:rPr>
          <w:rFonts w:ascii="仿宋" w:hAnsi="仿宋" w:eastAsia="仿宋" w:cs="仿宋"/>
          <w:b/>
          <w:sz w:val="28"/>
          <w:szCs w:val="28"/>
        </w:rPr>
      </w:pPr>
      <w:r>
        <w:rPr>
          <w:rFonts w:hint="eastAsia" w:ascii="仿宋" w:hAnsi="仿宋" w:eastAsia="仿宋" w:cs="仿宋"/>
          <w:b/>
          <w:sz w:val="28"/>
          <w:szCs w:val="28"/>
        </w:rPr>
        <w:fldChar w:fldCharType="begin"/>
      </w:r>
      <w:r>
        <w:rPr>
          <w:rFonts w:hint="eastAsia" w:ascii="仿宋" w:hAnsi="仿宋" w:eastAsia="仿宋" w:cs="仿宋"/>
          <w:b/>
          <w:sz w:val="28"/>
          <w:szCs w:val="28"/>
        </w:rPr>
        <w:instrText xml:space="preserve"> = 3 \* GB3 </w:instrText>
      </w:r>
      <w:r>
        <w:rPr>
          <w:rFonts w:hint="eastAsia" w:ascii="仿宋" w:hAnsi="仿宋" w:eastAsia="仿宋" w:cs="仿宋"/>
          <w:b/>
          <w:sz w:val="28"/>
          <w:szCs w:val="28"/>
        </w:rPr>
        <w:fldChar w:fldCharType="separate"/>
      </w:r>
      <w:r>
        <w:rPr>
          <w:rFonts w:hint="eastAsia" w:ascii="仿宋" w:hAnsi="仿宋" w:eastAsia="仿宋" w:cs="仿宋"/>
          <w:b/>
          <w:sz w:val="28"/>
          <w:szCs w:val="28"/>
        </w:rPr>
        <w:t>③</w:t>
      </w:r>
      <w:r>
        <w:rPr>
          <w:rFonts w:hint="eastAsia" w:ascii="仿宋" w:hAnsi="仿宋" w:eastAsia="仿宋" w:cs="仿宋"/>
          <w:b/>
          <w:sz w:val="28"/>
          <w:szCs w:val="28"/>
        </w:rPr>
        <w:fldChar w:fldCharType="end"/>
      </w:r>
      <w:r>
        <w:rPr>
          <w:rFonts w:hint="eastAsia" w:ascii="仿宋" w:hAnsi="仿宋" w:eastAsia="仿宋" w:cs="仿宋"/>
          <w:b/>
          <w:sz w:val="28"/>
          <w:szCs w:val="28"/>
        </w:rPr>
        <w:t xml:space="preserve"> 建设一支高职院校法治教育队伍，确保教育队伍的专业性和稳定性</w:t>
      </w:r>
    </w:p>
    <w:p>
      <w:pPr>
        <w:spacing w:line="540" w:lineRule="exact"/>
        <w:ind w:firstLine="560" w:firstLineChars="200"/>
        <w:rPr>
          <w:rFonts w:ascii="仿宋" w:hAnsi="仿宋" w:cs="仿宋"/>
          <w:bCs/>
          <w:sz w:val="28"/>
          <w:szCs w:val="28"/>
        </w:rPr>
      </w:pPr>
      <w:r>
        <w:rPr>
          <w:rFonts w:hint="eastAsia" w:ascii="仿宋" w:hAnsi="仿宋" w:eastAsia="仿宋" w:cs="仿宋"/>
          <w:bCs/>
          <w:sz w:val="28"/>
          <w:szCs w:val="28"/>
        </w:rPr>
        <w:t>加强优秀专业的法治教育人才队伍的选拔与引进，组织相关培训和学术活动，提升队伍整体素质，推动法治教育工作的深入开展，实现法治校园建设的目标。</w:t>
      </w:r>
    </w:p>
    <w:p>
      <w:pPr>
        <w:spacing w:line="540" w:lineRule="exact"/>
        <w:ind w:firstLine="562" w:firstLineChars="200"/>
        <w:rPr>
          <w:rFonts w:ascii="仿宋" w:hAnsi="仿宋" w:eastAsia="仿宋" w:cs="仿宋"/>
          <w:b/>
          <w:sz w:val="28"/>
          <w:szCs w:val="28"/>
        </w:rPr>
      </w:pPr>
      <w:r>
        <w:rPr>
          <w:rFonts w:hint="eastAsia" w:ascii="仿宋" w:hAnsi="仿宋" w:eastAsia="仿宋" w:cs="仿宋"/>
          <w:b/>
          <w:sz w:val="28"/>
          <w:szCs w:val="28"/>
        </w:rPr>
        <w:t>④ 优化法治课程设置，强化法治宣传教育</w:t>
      </w:r>
    </w:p>
    <w:p>
      <w:pPr>
        <w:spacing w:line="540" w:lineRule="exact"/>
        <w:ind w:firstLine="560" w:firstLineChars="200"/>
        <w:rPr>
          <w:rFonts w:ascii="仿宋" w:hAnsi="仿宋" w:cs="仿宋"/>
          <w:bCs/>
          <w:sz w:val="28"/>
          <w:szCs w:val="28"/>
        </w:rPr>
      </w:pPr>
      <w:r>
        <w:rPr>
          <w:rFonts w:ascii="仿宋" w:hAnsi="仿宋" w:eastAsia="仿宋" w:cs="仿宋"/>
          <w:bCs/>
          <w:sz w:val="28"/>
          <w:szCs w:val="28"/>
        </w:rPr>
        <w:t>优化法治课程设置，确保法治教育内容贯穿学生的学习生涯</w:t>
      </w:r>
      <w:r>
        <w:rPr>
          <w:rFonts w:hint="eastAsia" w:ascii="仿宋" w:hAnsi="仿宋" w:cs="仿宋"/>
          <w:bCs/>
          <w:sz w:val="28"/>
          <w:szCs w:val="28"/>
        </w:rPr>
        <w:t>；</w:t>
      </w:r>
      <w:r>
        <w:rPr>
          <w:rFonts w:ascii="仿宋" w:hAnsi="仿宋" w:eastAsia="仿宋" w:cs="仿宋"/>
          <w:bCs/>
          <w:sz w:val="28"/>
          <w:szCs w:val="28"/>
        </w:rPr>
        <w:t>提升法治课程教学质量，采用多种教学方法和手段，激发学生学习兴趣</w:t>
      </w:r>
      <w:r>
        <w:rPr>
          <w:rFonts w:hint="eastAsia" w:ascii="仿宋" w:hAnsi="仿宋" w:cs="仿宋"/>
          <w:bCs/>
          <w:sz w:val="28"/>
          <w:szCs w:val="28"/>
        </w:rPr>
        <w:t>；</w:t>
      </w:r>
      <w:r>
        <w:rPr>
          <w:rFonts w:ascii="仿宋" w:hAnsi="仿宋" w:eastAsia="仿宋" w:cs="仿宋"/>
          <w:bCs/>
          <w:sz w:val="28"/>
          <w:szCs w:val="28"/>
        </w:rPr>
        <w:t>开展法治课程实践活动，促进学生将理论知识应用于实际情境中，增强法治素养和能力。</w:t>
      </w:r>
    </w:p>
    <w:p>
      <w:pPr>
        <w:keepNext/>
        <w:keepLines/>
        <w:spacing w:line="540" w:lineRule="exact"/>
        <w:ind w:firstLine="562" w:firstLineChars="200"/>
        <w:outlineLvl w:val="3"/>
        <w:rPr>
          <w:rFonts w:ascii="Times New Roman" w:hAnsi="Times New Roman" w:eastAsia="仿宋"/>
          <w:b/>
          <w:sz w:val="28"/>
          <w:szCs w:val="28"/>
        </w:rPr>
      </w:pPr>
      <w:r>
        <w:rPr>
          <w:rFonts w:hint="eastAsia" w:ascii="Times New Roman" w:hAnsi="Times New Roman" w:eastAsia="仿宋"/>
          <w:b/>
          <w:sz w:val="28"/>
          <w:szCs w:val="28"/>
        </w:rPr>
        <w:t>（5）建设计划</w:t>
      </w:r>
    </w:p>
    <w:tbl>
      <w:tblPr>
        <w:tblStyle w:val="17"/>
        <w:tblW w:w="0" w:type="auto"/>
        <w:tblInd w:w="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0"/>
        <w:gridCol w:w="1492"/>
        <w:gridCol w:w="4869"/>
        <w:gridCol w:w="14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0" w:type="auto"/>
            <w:shd w:val="clear" w:color="auto" w:fill="4874CB" w:themeFill="accent1"/>
          </w:tcPr>
          <w:p>
            <w:pPr>
              <w:widowControl/>
              <w:topLinePunct/>
              <w:spacing w:line="560" w:lineRule="exact"/>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年度</w:t>
            </w:r>
          </w:p>
        </w:tc>
        <w:tc>
          <w:tcPr>
            <w:tcW w:w="0" w:type="auto"/>
            <w:shd w:val="clear" w:color="auto" w:fill="4874CB" w:themeFill="accent1"/>
          </w:tcPr>
          <w:p>
            <w:pPr>
              <w:widowControl/>
              <w:topLinePunct/>
              <w:spacing w:line="560" w:lineRule="exact"/>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建设任务</w:t>
            </w:r>
          </w:p>
        </w:tc>
        <w:tc>
          <w:tcPr>
            <w:tcW w:w="0" w:type="auto"/>
            <w:shd w:val="clear" w:color="auto" w:fill="4874CB" w:themeFill="accent1"/>
          </w:tcPr>
          <w:p>
            <w:pPr>
              <w:widowControl/>
              <w:topLinePunct/>
              <w:spacing w:line="560" w:lineRule="exact"/>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建设内容</w:t>
            </w:r>
          </w:p>
        </w:tc>
        <w:tc>
          <w:tcPr>
            <w:tcW w:w="0" w:type="auto"/>
            <w:shd w:val="clear" w:color="auto" w:fill="4874CB" w:themeFill="accent1"/>
          </w:tcPr>
          <w:p>
            <w:pPr>
              <w:widowControl/>
              <w:topLinePunct/>
              <w:spacing w:line="560" w:lineRule="exact"/>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负责部门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0" w:type="auto"/>
            <w:vMerge w:val="restart"/>
            <w:vAlign w:val="center"/>
          </w:tcPr>
          <w:p>
            <w:pPr>
              <w:spacing w:line="260" w:lineRule="exact"/>
              <w:jc w:val="center"/>
              <w:rPr>
                <w:rFonts w:ascii="仿宋" w:hAnsi="仿宋" w:eastAsia="仿宋" w:cs="仿宋"/>
                <w:bCs/>
                <w:color w:val="000000"/>
                <w:szCs w:val="21"/>
              </w:rPr>
            </w:pPr>
            <w:r>
              <w:rPr>
                <w:rFonts w:hint="eastAsia" w:ascii="仿宋" w:hAnsi="仿宋" w:eastAsia="仿宋" w:cs="仿宋"/>
                <w:bCs/>
                <w:color w:val="000000"/>
                <w:szCs w:val="21"/>
              </w:rPr>
              <w:t>2023</w:t>
            </w:r>
          </w:p>
        </w:tc>
        <w:tc>
          <w:tcPr>
            <w:tcW w:w="0" w:type="auto"/>
            <w:vAlign w:val="center"/>
          </w:tcPr>
          <w:p>
            <w:pPr>
              <w:spacing w:line="260" w:lineRule="exact"/>
              <w:rPr>
                <w:rFonts w:ascii="仿宋" w:hAnsi="仿宋" w:eastAsia="仿宋" w:cs="仿宋"/>
                <w:bCs/>
                <w:color w:val="000000"/>
                <w:szCs w:val="21"/>
              </w:rPr>
            </w:pPr>
            <w:r>
              <w:rPr>
                <w:rFonts w:hint="eastAsia" w:ascii="仿宋" w:hAnsi="仿宋" w:eastAsia="仿宋" w:cs="仿宋"/>
                <w:bCs/>
                <w:color w:val="000000"/>
                <w:szCs w:val="21"/>
              </w:rPr>
              <w:t>整合学校内部法治教育资源，加强法制教育</w:t>
            </w:r>
          </w:p>
        </w:tc>
        <w:tc>
          <w:tcPr>
            <w:tcW w:w="0" w:type="auto"/>
            <w:vAlign w:val="center"/>
          </w:tcPr>
          <w:p>
            <w:pPr>
              <w:spacing w:line="260" w:lineRule="exact"/>
              <w:rPr>
                <w:rFonts w:ascii="仿宋" w:hAnsi="仿宋" w:eastAsia="仿宋" w:cs="仿宋"/>
                <w:bCs/>
                <w:color w:val="000000"/>
                <w:szCs w:val="21"/>
              </w:rPr>
            </w:pPr>
            <w:r>
              <w:rPr>
                <w:rFonts w:hint="eastAsia" w:ascii="仿宋" w:hAnsi="仿宋" w:eastAsia="仿宋" w:cs="仿宋"/>
                <w:bCs/>
                <w:color w:val="000000"/>
                <w:szCs w:val="21"/>
              </w:rPr>
              <w:t>成立专门的机构或部门，负责统筹和协调法治教育资源的整合和管理。</w:t>
            </w:r>
          </w:p>
        </w:tc>
        <w:tc>
          <w:tcPr>
            <w:tcW w:w="0" w:type="auto"/>
            <w:vAlign w:val="center"/>
          </w:tcPr>
          <w:p>
            <w:pPr>
              <w:spacing w:line="260" w:lineRule="exact"/>
              <w:jc w:val="center"/>
              <w:rPr>
                <w:rFonts w:ascii="仿宋" w:hAnsi="仿宋" w:eastAsia="仿宋" w:cs="仿宋"/>
                <w:bCs/>
                <w:color w:val="000000"/>
                <w:szCs w:val="21"/>
              </w:rPr>
            </w:pPr>
            <w:r>
              <w:rPr>
                <w:rFonts w:hint="eastAsia" w:ascii="仿宋" w:hAnsi="仿宋" w:eastAsia="仿宋" w:cs="仿宋"/>
                <w:bCs/>
                <w:color w:val="000000"/>
                <w:szCs w:val="21"/>
              </w:rPr>
              <w:t>依法治校办、学校各职能部门、各二级学院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trPr>
        <w:tc>
          <w:tcPr>
            <w:tcW w:w="0" w:type="auto"/>
            <w:vMerge w:val="continue"/>
            <w:vAlign w:val="center"/>
          </w:tcPr>
          <w:p>
            <w:pPr>
              <w:spacing w:line="260" w:lineRule="exact"/>
              <w:jc w:val="center"/>
              <w:rPr>
                <w:rFonts w:ascii="仿宋" w:hAnsi="仿宋" w:eastAsia="仿宋" w:cs="仿宋"/>
                <w:b/>
                <w:color w:val="000000"/>
                <w:szCs w:val="21"/>
              </w:rPr>
            </w:pPr>
          </w:p>
        </w:tc>
        <w:tc>
          <w:tcPr>
            <w:tcW w:w="0" w:type="auto"/>
            <w:vAlign w:val="center"/>
          </w:tcPr>
          <w:p>
            <w:pPr>
              <w:spacing w:line="260" w:lineRule="exact"/>
              <w:rPr>
                <w:rFonts w:ascii="仿宋" w:hAnsi="仿宋" w:eastAsia="仿宋" w:cs="仿宋"/>
                <w:bCs/>
                <w:color w:val="000000"/>
                <w:szCs w:val="21"/>
              </w:rPr>
            </w:pPr>
            <w:r>
              <w:rPr>
                <w:rFonts w:hint="eastAsia" w:ascii="仿宋" w:hAnsi="仿宋" w:eastAsia="仿宋" w:cs="仿宋"/>
                <w:bCs/>
                <w:color w:val="000000"/>
                <w:szCs w:val="21"/>
              </w:rPr>
              <w:t>完善质量保障机制</w:t>
            </w:r>
          </w:p>
        </w:tc>
        <w:tc>
          <w:tcPr>
            <w:tcW w:w="0" w:type="auto"/>
            <w:vAlign w:val="center"/>
          </w:tcPr>
          <w:p>
            <w:pPr>
              <w:spacing w:line="260" w:lineRule="exact"/>
              <w:rPr>
                <w:rFonts w:ascii="仿宋" w:hAnsi="仿宋" w:eastAsia="仿宋" w:cs="仿宋"/>
                <w:bCs/>
                <w:color w:val="000000"/>
                <w:szCs w:val="21"/>
              </w:rPr>
            </w:pPr>
            <w:r>
              <w:rPr>
                <w:rFonts w:ascii="仿宋" w:hAnsi="仿宋" w:eastAsia="仿宋" w:cs="仿宋"/>
                <w:bCs/>
                <w:color w:val="000000"/>
                <w:szCs w:val="21"/>
              </w:rPr>
              <w:t>紧密对接国家科教兴国、人才强国及创新驱动发展三大战略，贯彻落实国家职业教育改革重大部署，</w:t>
            </w:r>
            <w:r>
              <w:rPr>
                <w:rFonts w:hint="eastAsia" w:ascii="仿宋" w:hAnsi="仿宋" w:eastAsia="仿宋" w:cs="仿宋"/>
                <w:bCs/>
                <w:color w:val="000000"/>
                <w:szCs w:val="21"/>
              </w:rPr>
              <w:t>加快完善学校章程建设，加大保障力度，强化常态监控，着力构建“七位一体”质量保障体系。</w:t>
            </w:r>
          </w:p>
        </w:tc>
        <w:tc>
          <w:tcPr>
            <w:tcW w:w="0" w:type="auto"/>
            <w:vAlign w:val="center"/>
          </w:tcPr>
          <w:p>
            <w:pPr>
              <w:spacing w:line="260" w:lineRule="exact"/>
              <w:jc w:val="center"/>
              <w:rPr>
                <w:rFonts w:ascii="仿宋" w:hAnsi="仿宋" w:eastAsia="仿宋" w:cs="仿宋"/>
                <w:bCs/>
                <w:color w:val="000000"/>
                <w:szCs w:val="21"/>
              </w:rPr>
            </w:pPr>
            <w:r>
              <w:rPr>
                <w:rFonts w:hint="eastAsia" w:ascii="仿宋" w:hAnsi="仿宋" w:eastAsia="仿宋" w:cs="仿宋"/>
                <w:bCs/>
                <w:color w:val="000000"/>
                <w:szCs w:val="21"/>
              </w:rPr>
              <w:t>发展规划处、依法治校办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8" w:hRule="atLeast"/>
        </w:trPr>
        <w:tc>
          <w:tcPr>
            <w:tcW w:w="0" w:type="auto"/>
            <w:vMerge w:val="restart"/>
            <w:vAlign w:val="center"/>
          </w:tcPr>
          <w:p>
            <w:pPr>
              <w:spacing w:line="260" w:lineRule="exact"/>
              <w:jc w:val="center"/>
              <w:rPr>
                <w:rFonts w:ascii="仿宋" w:hAnsi="仿宋" w:eastAsia="仿宋" w:cs="仿宋"/>
                <w:b/>
                <w:color w:val="000000"/>
                <w:szCs w:val="21"/>
              </w:rPr>
            </w:pPr>
            <w:r>
              <w:rPr>
                <w:rFonts w:hint="eastAsia" w:ascii="仿宋" w:hAnsi="仿宋" w:eastAsia="仿宋" w:cs="仿宋"/>
                <w:b/>
                <w:color w:val="000000"/>
                <w:szCs w:val="21"/>
              </w:rPr>
              <w:t>2024</w:t>
            </w:r>
          </w:p>
        </w:tc>
        <w:tc>
          <w:tcPr>
            <w:tcW w:w="0" w:type="auto"/>
            <w:vAlign w:val="center"/>
          </w:tcPr>
          <w:p>
            <w:pPr>
              <w:spacing w:line="260" w:lineRule="exact"/>
              <w:rPr>
                <w:rFonts w:ascii="仿宋" w:hAnsi="仿宋" w:eastAsia="仿宋" w:cs="仿宋"/>
                <w:bCs/>
                <w:color w:val="000000"/>
                <w:szCs w:val="21"/>
              </w:rPr>
            </w:pPr>
            <w:r>
              <w:rPr>
                <w:rFonts w:hint="eastAsia" w:ascii="仿宋" w:hAnsi="仿宋" w:eastAsia="仿宋" w:cs="仿宋"/>
                <w:bCs/>
                <w:color w:val="000000"/>
                <w:szCs w:val="21"/>
              </w:rPr>
              <w:t>建设一支高职院校法治教育队伍</w:t>
            </w:r>
          </w:p>
        </w:tc>
        <w:tc>
          <w:tcPr>
            <w:tcW w:w="0" w:type="auto"/>
            <w:vAlign w:val="center"/>
          </w:tcPr>
          <w:p>
            <w:pPr>
              <w:spacing w:line="260" w:lineRule="exact"/>
              <w:rPr>
                <w:rFonts w:ascii="仿宋" w:hAnsi="仿宋" w:eastAsia="仿宋" w:cs="仿宋"/>
                <w:bCs/>
                <w:color w:val="000000"/>
                <w:szCs w:val="21"/>
              </w:rPr>
            </w:pPr>
            <w:r>
              <w:rPr>
                <w:rFonts w:hint="eastAsia" w:ascii="仿宋" w:hAnsi="仿宋" w:eastAsia="仿宋" w:cs="仿宋"/>
                <w:bCs/>
                <w:color w:val="000000"/>
                <w:szCs w:val="21"/>
              </w:rPr>
              <w:t>拓展法治教育人才队伍的渠道，加强优秀、专业的法治教育人才的选拔与引进；组织法治教育队伍的相关培训和学术活动，提升队伍整体素质和专业水平。</w:t>
            </w:r>
          </w:p>
        </w:tc>
        <w:tc>
          <w:tcPr>
            <w:tcW w:w="0" w:type="auto"/>
            <w:vAlign w:val="center"/>
          </w:tcPr>
          <w:p>
            <w:pPr>
              <w:spacing w:line="260" w:lineRule="exact"/>
              <w:jc w:val="center"/>
              <w:rPr>
                <w:rFonts w:ascii="仿宋" w:hAnsi="仿宋" w:eastAsia="仿宋" w:cs="仿宋"/>
                <w:bCs/>
                <w:color w:val="000000"/>
                <w:szCs w:val="21"/>
              </w:rPr>
            </w:pPr>
            <w:r>
              <w:rPr>
                <w:rFonts w:hint="eastAsia" w:ascii="仿宋" w:hAnsi="仿宋" w:eastAsia="仿宋" w:cs="仿宋"/>
                <w:bCs/>
                <w:color w:val="000000"/>
                <w:szCs w:val="21"/>
              </w:rPr>
              <w:t>人事处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9" w:hRule="atLeast"/>
        </w:trPr>
        <w:tc>
          <w:tcPr>
            <w:tcW w:w="0" w:type="auto"/>
            <w:vMerge w:val="continue"/>
            <w:vAlign w:val="center"/>
          </w:tcPr>
          <w:p>
            <w:pPr>
              <w:spacing w:line="260" w:lineRule="exact"/>
              <w:jc w:val="center"/>
              <w:rPr>
                <w:rFonts w:ascii="仿宋" w:hAnsi="仿宋" w:eastAsia="仿宋" w:cs="仿宋"/>
                <w:b/>
                <w:color w:val="000000"/>
                <w:szCs w:val="21"/>
              </w:rPr>
            </w:pPr>
          </w:p>
        </w:tc>
        <w:tc>
          <w:tcPr>
            <w:tcW w:w="0" w:type="auto"/>
            <w:vAlign w:val="center"/>
          </w:tcPr>
          <w:p>
            <w:pPr>
              <w:spacing w:line="260" w:lineRule="exact"/>
              <w:rPr>
                <w:rFonts w:ascii="仿宋" w:hAnsi="仿宋" w:eastAsia="仿宋" w:cs="仿宋"/>
                <w:bCs/>
                <w:color w:val="000000"/>
                <w:szCs w:val="21"/>
              </w:rPr>
            </w:pPr>
            <w:r>
              <w:rPr>
                <w:rFonts w:hint="eastAsia" w:ascii="仿宋" w:hAnsi="仿宋" w:eastAsia="仿宋" w:cs="仿宋"/>
                <w:bCs/>
                <w:color w:val="000000"/>
                <w:szCs w:val="21"/>
              </w:rPr>
              <w:t>优化法治课程设置，强化法治宣传教育</w:t>
            </w:r>
          </w:p>
        </w:tc>
        <w:tc>
          <w:tcPr>
            <w:tcW w:w="0" w:type="auto"/>
            <w:vAlign w:val="center"/>
          </w:tcPr>
          <w:p>
            <w:pPr>
              <w:spacing w:line="260" w:lineRule="exact"/>
              <w:rPr>
                <w:rFonts w:ascii="仿宋" w:hAnsi="仿宋" w:eastAsia="仿宋" w:cs="仿宋"/>
                <w:bCs/>
                <w:color w:val="000000"/>
                <w:szCs w:val="21"/>
              </w:rPr>
            </w:pPr>
            <w:r>
              <w:rPr>
                <w:rFonts w:hint="eastAsia" w:ascii="仿宋" w:hAnsi="仿宋" w:eastAsia="仿宋" w:cs="仿宋"/>
                <w:bCs/>
                <w:color w:val="000000"/>
                <w:szCs w:val="21"/>
              </w:rPr>
              <w:t>优化法治课程设置，确保内容贯穿学生的学习生涯；加强法治宣传教育工作，提升学生对法治的认知和理解。</w:t>
            </w:r>
          </w:p>
        </w:tc>
        <w:tc>
          <w:tcPr>
            <w:tcW w:w="0" w:type="auto"/>
            <w:vAlign w:val="center"/>
          </w:tcPr>
          <w:p>
            <w:pPr>
              <w:spacing w:line="260" w:lineRule="exact"/>
              <w:jc w:val="center"/>
              <w:rPr>
                <w:rFonts w:ascii="仿宋" w:hAnsi="仿宋" w:eastAsia="仿宋" w:cs="仿宋"/>
                <w:bCs/>
                <w:color w:val="000000"/>
                <w:szCs w:val="21"/>
              </w:rPr>
            </w:pPr>
            <w:r>
              <w:rPr>
                <w:rFonts w:hint="eastAsia" w:ascii="仿宋" w:hAnsi="仿宋" w:eastAsia="仿宋" w:cs="仿宋"/>
                <w:bCs/>
                <w:color w:val="000000"/>
                <w:szCs w:val="21"/>
              </w:rPr>
              <w:t>党委宣传部、教务处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0" w:type="auto"/>
            <w:vMerge w:val="restart"/>
            <w:vAlign w:val="center"/>
          </w:tcPr>
          <w:p>
            <w:pPr>
              <w:spacing w:line="260" w:lineRule="exact"/>
              <w:jc w:val="center"/>
              <w:rPr>
                <w:rFonts w:ascii="仿宋" w:hAnsi="仿宋" w:eastAsia="仿宋" w:cs="仿宋"/>
                <w:b/>
                <w:color w:val="000000"/>
                <w:szCs w:val="21"/>
              </w:rPr>
            </w:pPr>
            <w:r>
              <w:rPr>
                <w:rFonts w:hint="eastAsia" w:ascii="仿宋" w:hAnsi="仿宋" w:eastAsia="仿宋" w:cs="仿宋"/>
                <w:b/>
                <w:color w:val="000000"/>
                <w:szCs w:val="21"/>
              </w:rPr>
              <w:t>2025</w:t>
            </w:r>
          </w:p>
        </w:tc>
        <w:tc>
          <w:tcPr>
            <w:tcW w:w="0" w:type="auto"/>
            <w:vAlign w:val="center"/>
          </w:tcPr>
          <w:p>
            <w:pPr>
              <w:spacing w:line="260" w:lineRule="exact"/>
              <w:rPr>
                <w:rFonts w:ascii="仿宋" w:hAnsi="仿宋" w:eastAsia="仿宋" w:cs="仿宋"/>
                <w:bCs/>
                <w:color w:val="000000"/>
                <w:szCs w:val="21"/>
              </w:rPr>
            </w:pPr>
            <w:r>
              <w:rPr>
                <w:rFonts w:hint="eastAsia" w:ascii="仿宋" w:hAnsi="仿宋" w:eastAsia="仿宋" w:cs="仿宋"/>
                <w:bCs/>
                <w:color w:val="000000"/>
                <w:szCs w:val="21"/>
              </w:rPr>
              <w:t>深化法治教育资源整合机制</w:t>
            </w:r>
          </w:p>
        </w:tc>
        <w:tc>
          <w:tcPr>
            <w:tcW w:w="0" w:type="auto"/>
            <w:vAlign w:val="center"/>
          </w:tcPr>
          <w:p>
            <w:pPr>
              <w:spacing w:line="260" w:lineRule="exact"/>
              <w:rPr>
                <w:rFonts w:ascii="仿宋" w:hAnsi="仿宋" w:eastAsia="仿宋" w:cs="仿宋"/>
                <w:bCs/>
                <w:color w:val="000000"/>
                <w:szCs w:val="21"/>
              </w:rPr>
            </w:pPr>
            <w:r>
              <w:rPr>
                <w:rFonts w:hint="eastAsia" w:ascii="仿宋" w:hAnsi="仿宋" w:eastAsia="仿宋" w:cs="仿宋"/>
                <w:bCs/>
                <w:color w:val="000000"/>
                <w:szCs w:val="21"/>
              </w:rPr>
              <w:t>持续优化法治教育资源整合机制，加强资源共享和协同配合的工作格局。</w:t>
            </w:r>
          </w:p>
        </w:tc>
        <w:tc>
          <w:tcPr>
            <w:tcW w:w="0" w:type="auto"/>
            <w:vAlign w:val="center"/>
          </w:tcPr>
          <w:p>
            <w:pPr>
              <w:spacing w:line="260" w:lineRule="exact"/>
              <w:jc w:val="center"/>
              <w:rPr>
                <w:rFonts w:ascii="仿宋" w:hAnsi="仿宋" w:eastAsia="仿宋" w:cs="仿宋"/>
                <w:bCs/>
                <w:color w:val="000000"/>
                <w:szCs w:val="21"/>
              </w:rPr>
            </w:pPr>
            <w:r>
              <w:rPr>
                <w:rFonts w:hint="eastAsia" w:ascii="仿宋" w:hAnsi="仿宋" w:eastAsia="仿宋" w:cs="仿宋"/>
                <w:bCs/>
                <w:color w:val="000000"/>
                <w:szCs w:val="21"/>
              </w:rPr>
              <w:t>依法治校办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0" w:type="auto"/>
            <w:vMerge w:val="continue"/>
          </w:tcPr>
          <w:p>
            <w:pPr>
              <w:spacing w:line="260" w:lineRule="exact"/>
              <w:rPr>
                <w:rFonts w:ascii="仿宋" w:hAnsi="仿宋" w:eastAsia="仿宋" w:cs="仿宋"/>
                <w:bCs/>
                <w:color w:val="000000"/>
                <w:szCs w:val="21"/>
              </w:rPr>
            </w:pPr>
          </w:p>
        </w:tc>
        <w:tc>
          <w:tcPr>
            <w:tcW w:w="0" w:type="auto"/>
            <w:vAlign w:val="center"/>
          </w:tcPr>
          <w:p>
            <w:pPr>
              <w:spacing w:line="260" w:lineRule="exact"/>
              <w:rPr>
                <w:rFonts w:ascii="仿宋" w:hAnsi="仿宋" w:eastAsia="仿宋" w:cs="仿宋"/>
                <w:bCs/>
                <w:color w:val="000000"/>
                <w:szCs w:val="21"/>
              </w:rPr>
            </w:pPr>
            <w:r>
              <w:rPr>
                <w:rFonts w:hint="eastAsia" w:ascii="仿宋" w:hAnsi="仿宋" w:eastAsia="仿宋" w:cs="仿宋"/>
                <w:bCs/>
                <w:color w:val="000000"/>
                <w:szCs w:val="21"/>
              </w:rPr>
              <w:t>加强法治课程教学质量</w:t>
            </w:r>
          </w:p>
        </w:tc>
        <w:tc>
          <w:tcPr>
            <w:tcW w:w="0" w:type="auto"/>
            <w:vAlign w:val="center"/>
          </w:tcPr>
          <w:p>
            <w:pPr>
              <w:spacing w:line="260" w:lineRule="exact"/>
              <w:rPr>
                <w:rFonts w:ascii="仿宋" w:hAnsi="仿宋" w:eastAsia="仿宋" w:cs="仿宋"/>
                <w:bCs/>
                <w:color w:val="000000"/>
                <w:szCs w:val="21"/>
              </w:rPr>
            </w:pPr>
            <w:r>
              <w:rPr>
                <w:rFonts w:hint="eastAsia" w:ascii="仿宋" w:hAnsi="仿宋" w:eastAsia="仿宋" w:cs="仿宋"/>
                <w:bCs/>
                <w:color w:val="000000"/>
                <w:szCs w:val="21"/>
              </w:rPr>
              <w:t>进一步完善法治课程教学质量评估机制，提高教学效果。</w:t>
            </w:r>
          </w:p>
        </w:tc>
        <w:tc>
          <w:tcPr>
            <w:tcW w:w="0" w:type="auto"/>
            <w:vAlign w:val="center"/>
          </w:tcPr>
          <w:p>
            <w:pPr>
              <w:spacing w:line="260" w:lineRule="exact"/>
              <w:jc w:val="center"/>
              <w:rPr>
                <w:rFonts w:ascii="仿宋" w:hAnsi="仿宋" w:eastAsia="仿宋" w:cs="仿宋"/>
                <w:bCs/>
                <w:color w:val="000000"/>
                <w:szCs w:val="21"/>
              </w:rPr>
            </w:pPr>
            <w:r>
              <w:rPr>
                <w:rFonts w:hint="eastAsia" w:ascii="仿宋" w:hAnsi="仿宋" w:eastAsia="仿宋" w:cs="仿宋"/>
                <w:bCs/>
                <w:color w:val="000000"/>
                <w:szCs w:val="21"/>
              </w:rPr>
              <w:t>教务处、教学质量督导室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0" w:type="auto"/>
            <w:vMerge w:val="continue"/>
          </w:tcPr>
          <w:p>
            <w:pPr>
              <w:spacing w:line="260" w:lineRule="exact"/>
              <w:rPr>
                <w:rFonts w:ascii="仿宋" w:hAnsi="仿宋" w:eastAsia="仿宋" w:cs="仿宋"/>
                <w:bCs/>
                <w:color w:val="000000"/>
                <w:szCs w:val="21"/>
              </w:rPr>
            </w:pPr>
          </w:p>
        </w:tc>
        <w:tc>
          <w:tcPr>
            <w:tcW w:w="0" w:type="auto"/>
            <w:vAlign w:val="center"/>
          </w:tcPr>
          <w:p>
            <w:pPr>
              <w:spacing w:line="260" w:lineRule="exact"/>
              <w:rPr>
                <w:rFonts w:ascii="仿宋" w:hAnsi="仿宋" w:eastAsia="仿宋" w:cs="仿宋"/>
                <w:bCs/>
                <w:color w:val="000000"/>
                <w:szCs w:val="21"/>
              </w:rPr>
            </w:pPr>
            <w:r>
              <w:rPr>
                <w:rFonts w:hint="eastAsia" w:ascii="仿宋" w:hAnsi="仿宋" w:eastAsia="仿宋" w:cs="仿宋"/>
                <w:bCs/>
                <w:color w:val="000000"/>
                <w:szCs w:val="21"/>
              </w:rPr>
              <w:t>强化法治教育队伍建设</w:t>
            </w:r>
          </w:p>
        </w:tc>
        <w:tc>
          <w:tcPr>
            <w:tcW w:w="0" w:type="auto"/>
            <w:vAlign w:val="center"/>
          </w:tcPr>
          <w:p>
            <w:pPr>
              <w:spacing w:line="260" w:lineRule="exact"/>
              <w:rPr>
                <w:rFonts w:ascii="仿宋" w:hAnsi="仿宋" w:eastAsia="仿宋" w:cs="仿宋"/>
                <w:bCs/>
                <w:color w:val="000000"/>
                <w:szCs w:val="21"/>
              </w:rPr>
            </w:pPr>
            <w:r>
              <w:rPr>
                <w:rFonts w:hint="eastAsia" w:ascii="仿宋" w:hAnsi="仿宋" w:eastAsia="仿宋" w:cs="仿宋"/>
                <w:bCs/>
                <w:color w:val="000000"/>
                <w:szCs w:val="21"/>
              </w:rPr>
              <w:t>持续组织法治教育队伍的培训和学术交流活动，提升队伍的专业性和稳定性。</w:t>
            </w:r>
          </w:p>
        </w:tc>
        <w:tc>
          <w:tcPr>
            <w:tcW w:w="0" w:type="auto"/>
            <w:vAlign w:val="center"/>
          </w:tcPr>
          <w:p>
            <w:pPr>
              <w:spacing w:line="260" w:lineRule="exact"/>
              <w:jc w:val="center"/>
              <w:rPr>
                <w:rFonts w:ascii="仿宋" w:hAnsi="仿宋" w:eastAsia="仿宋" w:cs="仿宋"/>
                <w:bCs/>
                <w:color w:val="000000"/>
                <w:szCs w:val="21"/>
              </w:rPr>
            </w:pPr>
            <w:r>
              <w:rPr>
                <w:rFonts w:hint="eastAsia" w:ascii="仿宋" w:hAnsi="仿宋" w:eastAsia="仿宋" w:cs="仿宋"/>
                <w:bCs/>
                <w:color w:val="000000"/>
                <w:szCs w:val="21"/>
              </w:rPr>
              <w:t>人事处</w:t>
            </w:r>
          </w:p>
        </w:tc>
      </w:tr>
    </w:tbl>
    <w:p>
      <w:pPr>
        <w:keepNext/>
        <w:keepLines/>
        <w:spacing w:line="540" w:lineRule="exact"/>
        <w:ind w:firstLine="562" w:firstLineChars="200"/>
        <w:outlineLvl w:val="3"/>
        <w:rPr>
          <w:rFonts w:ascii="Times New Roman" w:hAnsi="Times New Roman" w:eastAsia="仿宋"/>
          <w:b/>
          <w:sz w:val="28"/>
          <w:szCs w:val="28"/>
        </w:rPr>
      </w:pPr>
      <w:r>
        <w:rPr>
          <w:rFonts w:hint="eastAsia" w:ascii="Times New Roman" w:hAnsi="Times New Roman" w:eastAsia="仿宋"/>
          <w:b/>
          <w:sz w:val="28"/>
          <w:szCs w:val="28"/>
        </w:rPr>
        <w:t>（6）预期成效及资金测算</w:t>
      </w:r>
    </w:p>
    <w:tbl>
      <w:tblPr>
        <w:tblStyle w:val="16"/>
        <w:tblW w:w="8441" w:type="dxa"/>
        <w:jc w:val="center"/>
        <w:tblLayout w:type="autofit"/>
        <w:tblCellMar>
          <w:top w:w="15" w:type="dxa"/>
          <w:left w:w="15" w:type="dxa"/>
          <w:bottom w:w="15" w:type="dxa"/>
          <w:right w:w="15" w:type="dxa"/>
        </w:tblCellMar>
      </w:tblPr>
      <w:tblGrid>
        <w:gridCol w:w="647"/>
        <w:gridCol w:w="2237"/>
        <w:gridCol w:w="3993"/>
        <w:gridCol w:w="484"/>
        <w:gridCol w:w="560"/>
        <w:gridCol w:w="520"/>
      </w:tblGrid>
      <w:tr>
        <w:tblPrEx>
          <w:tblCellMar>
            <w:top w:w="15" w:type="dxa"/>
            <w:left w:w="15" w:type="dxa"/>
            <w:bottom w:w="15" w:type="dxa"/>
            <w:right w:w="15" w:type="dxa"/>
          </w:tblCellMar>
        </w:tblPrEx>
        <w:trPr>
          <w:trHeight w:val="301" w:hRule="atLeast"/>
          <w:jc w:val="center"/>
        </w:trPr>
        <w:tc>
          <w:tcPr>
            <w:tcW w:w="647" w:type="dxa"/>
            <w:vMerge w:val="restart"/>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topLinePunct/>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项目名称</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topLinePunct/>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主要建设内容</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topLinePunct/>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预期建设成效</w:t>
            </w:r>
          </w:p>
        </w:tc>
        <w:tc>
          <w:tcPr>
            <w:tcW w:w="1564" w:type="dxa"/>
            <w:gridSpan w:val="3"/>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topLinePunct/>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建设资金安排表（万元）</w:t>
            </w:r>
          </w:p>
        </w:tc>
      </w:tr>
      <w:tr>
        <w:tblPrEx>
          <w:tblCellMar>
            <w:top w:w="15" w:type="dxa"/>
            <w:left w:w="15" w:type="dxa"/>
            <w:bottom w:w="15" w:type="dxa"/>
            <w:right w:w="15" w:type="dxa"/>
          </w:tblCellMar>
        </w:tblPrEx>
        <w:trPr>
          <w:trHeight w:val="286" w:hRule="atLeast"/>
          <w:jc w:val="center"/>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topLinePunct/>
              <w:jc w:val="center"/>
              <w:rPr>
                <w:rFonts w:ascii="仿宋" w:hAnsi="仿宋" w:eastAsia="仿宋" w:cs="仿宋"/>
                <w:b/>
                <w:bCs/>
                <w:color w:val="000000"/>
                <w:kern w:val="0"/>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topLinePunct/>
              <w:jc w:val="center"/>
              <w:rPr>
                <w:rFonts w:ascii="仿宋" w:hAnsi="仿宋" w:eastAsia="仿宋" w:cs="仿宋"/>
                <w:b/>
                <w:bCs/>
                <w:color w:val="000000"/>
                <w:kern w:val="0"/>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topLinePunct/>
              <w:jc w:val="center"/>
              <w:rPr>
                <w:rFonts w:ascii="仿宋" w:hAnsi="仿宋" w:eastAsia="仿宋" w:cs="仿宋"/>
                <w:b/>
                <w:bCs/>
                <w:color w:val="000000"/>
                <w:kern w:val="0"/>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topLinePunct/>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2023年</w:t>
            </w:r>
          </w:p>
        </w:tc>
        <w:tc>
          <w:tcPr>
            <w:tcW w:w="560" w:type="dxa"/>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topLinePunct/>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2024年</w:t>
            </w:r>
          </w:p>
        </w:tc>
        <w:tc>
          <w:tcPr>
            <w:tcW w:w="520" w:type="dxa"/>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topLinePunct/>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2025年</w:t>
            </w:r>
          </w:p>
        </w:tc>
      </w:tr>
      <w:tr>
        <w:tblPrEx>
          <w:tblCellMar>
            <w:top w:w="15" w:type="dxa"/>
            <w:left w:w="15" w:type="dxa"/>
            <w:bottom w:w="15" w:type="dxa"/>
            <w:right w:w="15" w:type="dxa"/>
          </w:tblCellMar>
        </w:tblPrEx>
        <w:trPr>
          <w:trHeight w:val="450" w:hRule="atLeast"/>
          <w:jc w:val="center"/>
        </w:trPr>
        <w:tc>
          <w:tcPr>
            <w:tcW w:w="647"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bCs/>
                <w:color w:val="000000"/>
                <w:szCs w:val="21"/>
              </w:rPr>
            </w:pPr>
            <w:r>
              <w:rPr>
                <w:rFonts w:hint="eastAsia" w:ascii="仿宋" w:hAnsi="仿宋" w:eastAsia="仿宋" w:cs="仿宋"/>
                <w:b/>
                <w:color w:val="000000"/>
                <w:szCs w:val="21"/>
              </w:rPr>
              <w:t>依法治校协同育人能力提升项目</w:t>
            </w: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bCs/>
                <w:color w:val="000000"/>
                <w:szCs w:val="21"/>
              </w:rPr>
            </w:pPr>
            <w:r>
              <w:rPr>
                <w:rFonts w:hint="eastAsia" w:ascii="仿宋" w:hAnsi="仿宋" w:eastAsia="仿宋" w:cs="仿宋"/>
                <w:bCs/>
                <w:color w:val="000000"/>
                <w:szCs w:val="21"/>
              </w:rPr>
              <w:t>整合学校内部法治教育资源，加强法制教育；完善质量保障机制；建设一支高职院校法治教育队伍，确保教育队伍的专业性和稳定性；优化法治课程设置，强化法治宣传教育。</w:t>
            </w:r>
          </w:p>
        </w:tc>
        <w:tc>
          <w:tcPr>
            <w:tcW w:w="0" w:type="auto"/>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仿宋"/>
                <w:bCs/>
                <w:color w:val="000000"/>
                <w:szCs w:val="21"/>
              </w:rPr>
            </w:pPr>
            <w:r>
              <w:rPr>
                <w:rFonts w:hint="eastAsia" w:ascii="仿宋" w:hAnsi="仿宋" w:eastAsia="仿宋" w:cs="仿宋"/>
                <w:bCs/>
                <w:color w:val="000000"/>
                <w:szCs w:val="21"/>
              </w:rPr>
              <w:t>整合学校内部法治教育资源，</w:t>
            </w:r>
            <w:r>
              <w:rPr>
                <w:rFonts w:ascii="仿宋" w:hAnsi="仿宋" w:eastAsia="仿宋" w:cs="仿宋"/>
                <w:bCs/>
                <w:color w:val="000000"/>
                <w:szCs w:val="21"/>
              </w:rPr>
              <w:t>探索构建“顶层设计—部门联动—全面覆盖”的法治宣传教育工作机制，</w:t>
            </w:r>
            <w:r>
              <w:rPr>
                <w:rFonts w:hint="eastAsia" w:ascii="仿宋" w:hAnsi="仿宋" w:eastAsia="仿宋" w:cs="仿宋"/>
                <w:bCs/>
                <w:color w:val="000000"/>
                <w:szCs w:val="21"/>
              </w:rPr>
              <w:t>加强法制教育。</w:t>
            </w:r>
            <w:r>
              <w:rPr>
                <w:rFonts w:ascii="仿宋" w:hAnsi="仿宋" w:eastAsia="仿宋" w:cs="仿宋"/>
                <w:bCs/>
                <w:color w:val="000000"/>
                <w:szCs w:val="21"/>
              </w:rPr>
              <w:t>紧密对接国家科教兴国、人才强国及创新驱动发展三大战略，贯彻落实国家职业教育改革重大部署，</w:t>
            </w:r>
            <w:r>
              <w:rPr>
                <w:rFonts w:hint="eastAsia" w:ascii="仿宋" w:hAnsi="仿宋" w:eastAsia="仿宋" w:cs="仿宋"/>
                <w:bCs/>
                <w:color w:val="000000"/>
                <w:szCs w:val="21"/>
              </w:rPr>
              <w:t>加快完善学校章程建设，加大保障力度，强化常态监控，着力构建“七位一体”质量保障体系。进一步强化学校对法治建设的支持和保障，确保法治校园建设取得实效。</w:t>
            </w: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bCs/>
                <w:color w:val="000000"/>
                <w:szCs w:val="21"/>
              </w:rPr>
            </w:pPr>
            <w:r>
              <w:rPr>
                <w:rFonts w:hint="eastAsia" w:ascii="仿宋" w:hAnsi="仿宋" w:eastAsia="仿宋" w:cs="仿宋"/>
                <w:bCs/>
                <w:color w:val="000000"/>
                <w:szCs w:val="21"/>
              </w:rPr>
              <w:t>5</w:t>
            </w:r>
          </w:p>
        </w:tc>
        <w:tc>
          <w:tcPr>
            <w:tcW w:w="5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bCs/>
                <w:color w:val="000000"/>
                <w:szCs w:val="21"/>
              </w:rPr>
            </w:pPr>
            <w:r>
              <w:rPr>
                <w:rFonts w:hint="eastAsia" w:ascii="仿宋" w:hAnsi="仿宋" w:eastAsia="仿宋" w:cs="仿宋"/>
                <w:bCs/>
                <w:color w:val="000000"/>
                <w:szCs w:val="21"/>
              </w:rPr>
              <w:t>5</w:t>
            </w:r>
          </w:p>
        </w:tc>
        <w:tc>
          <w:tcPr>
            <w:tcW w:w="52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bCs/>
                <w:color w:val="000000"/>
                <w:szCs w:val="21"/>
              </w:rPr>
            </w:pPr>
            <w:r>
              <w:rPr>
                <w:rFonts w:hint="eastAsia" w:ascii="仿宋" w:hAnsi="仿宋" w:eastAsia="仿宋" w:cs="仿宋"/>
                <w:bCs/>
                <w:color w:val="000000"/>
                <w:szCs w:val="21"/>
              </w:rPr>
              <w:t>5</w:t>
            </w:r>
          </w:p>
        </w:tc>
      </w:tr>
    </w:tbl>
    <w:p/>
    <w:p>
      <w:pPr>
        <w:pStyle w:val="4"/>
      </w:pPr>
      <w:bookmarkStart w:id="28" w:name="_Toc164347830"/>
      <w:r>
        <w:rPr>
          <w:rFonts w:hint="eastAsia"/>
        </w:rPr>
        <w:t>5.</w:t>
      </w:r>
      <w:r>
        <w:fldChar w:fldCharType="begin"/>
      </w:r>
      <w:r>
        <w:instrText xml:space="preserve"> HYPERLINK \l "_Toc9353" </w:instrText>
      </w:r>
      <w:r>
        <w:fldChar w:fldCharType="separate"/>
      </w:r>
      <w:r>
        <w:t>流程再造，</w:t>
      </w:r>
      <w:r>
        <w:rPr>
          <w:rFonts w:hint="eastAsia"/>
        </w:rPr>
        <w:t>体制机制改革项目</w:t>
      </w:r>
      <w:bookmarkEnd w:id="28"/>
      <w:r>
        <w:rPr>
          <w:rFonts w:hint="eastAsia"/>
        </w:rPr>
        <w:fldChar w:fldCharType="end"/>
      </w:r>
    </w:p>
    <w:p>
      <w:pPr>
        <w:keepNext/>
        <w:keepLines/>
        <w:spacing w:line="540" w:lineRule="exact"/>
        <w:ind w:firstLine="562" w:firstLineChars="200"/>
        <w:outlineLvl w:val="3"/>
        <w:rPr>
          <w:rFonts w:ascii="Times New Roman" w:hAnsi="Times New Roman" w:eastAsia="仿宋"/>
          <w:b/>
          <w:sz w:val="28"/>
          <w:szCs w:val="28"/>
        </w:rPr>
      </w:pPr>
      <w:r>
        <w:rPr>
          <w:rFonts w:hint="eastAsia" w:ascii="Times New Roman" w:hAnsi="Times New Roman" w:eastAsia="仿宋"/>
          <w:b/>
          <w:sz w:val="28"/>
          <w:szCs w:val="28"/>
        </w:rPr>
        <w:t>（1）必要性和可行性</w:t>
      </w:r>
    </w:p>
    <w:p>
      <w:pPr>
        <w:spacing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2019年，</w:t>
      </w:r>
      <w:r>
        <w:rPr>
          <w:rFonts w:ascii="仿宋" w:hAnsi="仿宋" w:eastAsia="仿宋" w:cs="仿宋"/>
          <w:bCs/>
          <w:sz w:val="28"/>
          <w:szCs w:val="28"/>
        </w:rPr>
        <w:t>国务院印发《国家职业教育改革实施方案》。2021年，中共中央办公厅</w:t>
      </w:r>
      <w:r>
        <w:rPr>
          <w:rFonts w:hint="eastAsia" w:ascii="仿宋" w:hAnsi="仿宋" w:eastAsia="仿宋" w:cs="仿宋"/>
          <w:bCs/>
          <w:sz w:val="28"/>
          <w:szCs w:val="28"/>
        </w:rPr>
        <w:t xml:space="preserve"> </w:t>
      </w:r>
      <w:r>
        <w:rPr>
          <w:rFonts w:ascii="仿宋" w:hAnsi="仿宋" w:eastAsia="仿宋" w:cs="仿宋"/>
          <w:bCs/>
          <w:sz w:val="28"/>
          <w:szCs w:val="28"/>
        </w:rPr>
        <w:t>国务院办公厅印发《关于推动现代职业教育高质量发展的意见》。</w:t>
      </w:r>
      <w:r>
        <w:rPr>
          <w:rFonts w:hint="eastAsia" w:ascii="仿宋" w:hAnsi="仿宋" w:eastAsia="仿宋" w:cs="仿宋"/>
          <w:bCs/>
          <w:sz w:val="28"/>
          <w:szCs w:val="28"/>
        </w:rPr>
        <w:t>2022年，中共中央办公厅 国务院办公厅印发《关于深化现代职业教育体系建设改革的意见》。进入新时期</w:t>
      </w:r>
      <w:r>
        <w:rPr>
          <w:rFonts w:ascii="仿宋" w:hAnsi="仿宋" w:eastAsia="仿宋" w:cs="仿宋"/>
          <w:bCs/>
          <w:sz w:val="28"/>
          <w:szCs w:val="28"/>
        </w:rPr>
        <w:t>，教育的职责不仅仅是传授知识，更需要培养学生的实践能力和创新精神。传统的教学模式和管理体制已经无法满足现代社会的需求。因此，通过流程再造和体制机制改革，可以优化管理流程，提高教学效率，推动教育教学改革，提升教育质量和服务水平。</w:t>
      </w:r>
    </w:p>
    <w:p>
      <w:pPr>
        <w:spacing w:line="540" w:lineRule="exact"/>
        <w:ind w:firstLine="560" w:firstLineChars="200"/>
        <w:rPr>
          <w:rFonts w:ascii="仿宋" w:hAnsi="仿宋" w:eastAsia="仿宋" w:cs="仿宋"/>
          <w:b/>
          <w:bCs/>
          <w:color w:val="FF0000"/>
          <w:sz w:val="28"/>
          <w:szCs w:val="28"/>
        </w:rPr>
      </w:pPr>
      <w:r>
        <w:rPr>
          <w:rFonts w:hint="eastAsia" w:ascii="仿宋" w:hAnsi="仿宋" w:eastAsia="仿宋" w:cs="仿宋"/>
          <w:bCs/>
          <w:sz w:val="28"/>
          <w:szCs w:val="28"/>
        </w:rPr>
        <w:t>我校</w:t>
      </w:r>
      <w:r>
        <w:rPr>
          <w:rFonts w:ascii="仿宋" w:hAnsi="仿宋" w:eastAsia="仿宋" w:cs="仿宋"/>
          <w:bCs/>
          <w:sz w:val="28"/>
          <w:szCs w:val="28"/>
        </w:rPr>
        <w:t>拥有丰富的人才资源和教育资源，具备进行流程再造和体制机制改革的基础条件。社会对高职院校提出了更高的要求，需要培养适应社会需求的高素质技术人才。这为高职院校进行流程再造和体制机制改革提供了社会需求的支持和动力</w:t>
      </w:r>
      <w:r>
        <w:rPr>
          <w:rFonts w:hint="eastAsia" w:ascii="仿宋" w:hAnsi="仿宋" w:eastAsia="仿宋" w:cs="仿宋"/>
          <w:bCs/>
          <w:sz w:val="28"/>
          <w:szCs w:val="28"/>
        </w:rPr>
        <w:t>。</w:t>
      </w:r>
    </w:p>
    <w:p>
      <w:pPr>
        <w:keepNext/>
        <w:keepLines/>
        <w:spacing w:line="540" w:lineRule="exact"/>
        <w:ind w:firstLine="562" w:firstLineChars="200"/>
        <w:outlineLvl w:val="3"/>
        <w:rPr>
          <w:rFonts w:ascii="Times New Roman" w:hAnsi="Times New Roman" w:eastAsia="仿宋"/>
          <w:b/>
          <w:sz w:val="28"/>
          <w:szCs w:val="28"/>
        </w:rPr>
      </w:pPr>
      <w:r>
        <w:rPr>
          <w:rFonts w:hint="eastAsia" w:ascii="Times New Roman" w:hAnsi="Times New Roman" w:eastAsia="仿宋"/>
          <w:b/>
          <w:sz w:val="28"/>
          <w:szCs w:val="28"/>
        </w:rPr>
        <w:t>（2）拟解决的关键问题</w:t>
      </w:r>
    </w:p>
    <w:p>
      <w:pPr>
        <w:spacing w:line="540" w:lineRule="exact"/>
        <w:ind w:firstLine="560" w:firstLineChars="200"/>
        <w:rPr>
          <w:rFonts w:ascii="仿宋" w:hAnsi="仿宋" w:eastAsia="仿宋" w:cs="仿宋"/>
          <w:b/>
          <w:bCs/>
          <w:sz w:val="28"/>
          <w:szCs w:val="28"/>
        </w:rPr>
      </w:pPr>
      <w:r>
        <w:rPr>
          <w:rFonts w:ascii="仿宋" w:hAnsi="仿宋" w:eastAsia="仿宋" w:cs="仿宋"/>
          <w:bCs/>
          <w:sz w:val="28"/>
          <w:szCs w:val="28"/>
        </w:rPr>
        <w:t>需要通过重新设计流程，简化决策程序，优化管理流程，提高工作效率和质量</w:t>
      </w:r>
      <w:r>
        <w:rPr>
          <w:rFonts w:hint="eastAsia" w:ascii="仿宋" w:hAnsi="仿宋" w:eastAsia="仿宋" w:cs="仿宋"/>
          <w:bCs/>
          <w:sz w:val="28"/>
          <w:szCs w:val="28"/>
        </w:rPr>
        <w:t>解决</w:t>
      </w:r>
      <w:r>
        <w:rPr>
          <w:rFonts w:ascii="仿宋" w:hAnsi="仿宋" w:eastAsia="仿宋" w:cs="仿宋"/>
          <w:bCs/>
          <w:sz w:val="28"/>
          <w:szCs w:val="28"/>
        </w:rPr>
        <w:t>流程繁琐、效率低下</w:t>
      </w:r>
      <w:r>
        <w:rPr>
          <w:rFonts w:hint="eastAsia" w:ascii="仿宋" w:hAnsi="仿宋" w:eastAsia="仿宋" w:cs="仿宋"/>
          <w:bCs/>
          <w:sz w:val="28"/>
          <w:szCs w:val="28"/>
        </w:rPr>
        <w:t>的问题；</w:t>
      </w:r>
      <w:r>
        <w:rPr>
          <w:rFonts w:ascii="仿宋" w:hAnsi="仿宋" w:eastAsia="仿宋" w:cs="仿宋"/>
          <w:bCs/>
          <w:sz w:val="28"/>
          <w:szCs w:val="28"/>
        </w:rPr>
        <w:t>通过改革体制机制，激发教职员工的创新活力，推动教育教学改革和科研成果转化，提升学校的竞争力和发展能力</w:t>
      </w:r>
      <w:r>
        <w:rPr>
          <w:rFonts w:hint="eastAsia" w:ascii="仿宋" w:hAnsi="仿宋" w:eastAsia="仿宋" w:cs="仿宋"/>
          <w:bCs/>
          <w:sz w:val="28"/>
          <w:szCs w:val="28"/>
        </w:rPr>
        <w:t>，解决</w:t>
      </w:r>
      <w:r>
        <w:rPr>
          <w:rFonts w:ascii="仿宋" w:hAnsi="仿宋" w:eastAsia="仿宋" w:cs="仿宋"/>
          <w:bCs/>
          <w:sz w:val="28"/>
          <w:szCs w:val="28"/>
        </w:rPr>
        <w:t>体制机制僵化、创新不足</w:t>
      </w:r>
      <w:r>
        <w:rPr>
          <w:rFonts w:hint="eastAsia" w:ascii="仿宋" w:hAnsi="仿宋" w:eastAsia="仿宋" w:cs="仿宋"/>
          <w:bCs/>
          <w:sz w:val="28"/>
          <w:szCs w:val="28"/>
        </w:rPr>
        <w:t>等问题；</w:t>
      </w:r>
      <w:r>
        <w:rPr>
          <w:rFonts w:ascii="仿宋" w:hAnsi="仿宋" w:eastAsia="仿宋" w:cs="仿宋"/>
          <w:bCs/>
          <w:sz w:val="28"/>
          <w:szCs w:val="28"/>
        </w:rPr>
        <w:t>优化资源配置，实现资源的合理分配和有效利用，提高教育资源的利用效率和教学质量</w:t>
      </w:r>
      <w:r>
        <w:rPr>
          <w:rFonts w:hint="eastAsia" w:ascii="仿宋" w:hAnsi="仿宋" w:eastAsia="仿宋" w:cs="仿宋"/>
          <w:bCs/>
          <w:sz w:val="28"/>
          <w:szCs w:val="28"/>
        </w:rPr>
        <w:t>从而解决</w:t>
      </w:r>
      <w:r>
        <w:rPr>
          <w:rFonts w:ascii="仿宋" w:hAnsi="仿宋" w:eastAsia="仿宋" w:cs="仿宋"/>
          <w:bCs/>
          <w:sz w:val="28"/>
          <w:szCs w:val="28"/>
        </w:rPr>
        <w:t>资源配置不合理、利用效率低下</w:t>
      </w:r>
      <w:r>
        <w:rPr>
          <w:rFonts w:hint="eastAsia" w:ascii="仿宋" w:hAnsi="仿宋" w:eastAsia="仿宋" w:cs="仿宋"/>
          <w:bCs/>
          <w:sz w:val="28"/>
          <w:szCs w:val="28"/>
        </w:rPr>
        <w:t>等问题；</w:t>
      </w:r>
      <w:r>
        <w:rPr>
          <w:rFonts w:ascii="仿宋" w:hAnsi="仿宋" w:eastAsia="仿宋" w:cs="仿宋"/>
          <w:bCs/>
          <w:sz w:val="28"/>
          <w:szCs w:val="28"/>
        </w:rPr>
        <w:t>加强师资队伍建设，</w:t>
      </w:r>
      <w:r>
        <w:rPr>
          <w:rFonts w:hint="eastAsia" w:ascii="仿宋" w:hAnsi="仿宋" w:eastAsia="仿宋" w:cs="仿宋"/>
          <w:bCs/>
          <w:sz w:val="28"/>
          <w:szCs w:val="28"/>
        </w:rPr>
        <w:t>提升</w:t>
      </w:r>
      <w:r>
        <w:rPr>
          <w:rFonts w:ascii="仿宋" w:hAnsi="仿宋" w:eastAsia="仿宋" w:cs="仿宋"/>
          <w:bCs/>
          <w:sz w:val="28"/>
          <w:szCs w:val="28"/>
        </w:rPr>
        <w:t>教师的教学水平和专业素养，提升教育教学质量和服务水平</w:t>
      </w:r>
      <w:r>
        <w:rPr>
          <w:rFonts w:hint="eastAsia" w:ascii="仿宋" w:hAnsi="仿宋" w:eastAsia="仿宋" w:cs="仿宋"/>
          <w:bCs/>
          <w:sz w:val="28"/>
          <w:szCs w:val="28"/>
        </w:rPr>
        <w:t>，解决结构单一、缺乏创新能力等问题；</w:t>
      </w:r>
      <w:r>
        <w:rPr>
          <w:rFonts w:ascii="仿宋" w:hAnsi="仿宋" w:eastAsia="仿宋" w:cs="仿宋"/>
          <w:bCs/>
          <w:sz w:val="28"/>
          <w:szCs w:val="28"/>
        </w:rPr>
        <w:t>改革科研管理机制，加强科研投入和支持，提升学校的科研创新能力和技术水平，推动学校的科研成果转化和应用。</w:t>
      </w:r>
    </w:p>
    <w:p>
      <w:pPr>
        <w:keepNext/>
        <w:keepLines/>
        <w:spacing w:line="540" w:lineRule="exact"/>
        <w:ind w:firstLine="562" w:firstLineChars="200"/>
        <w:outlineLvl w:val="3"/>
        <w:rPr>
          <w:rFonts w:ascii="Times New Roman" w:hAnsi="Times New Roman" w:eastAsia="仿宋"/>
          <w:b/>
          <w:sz w:val="28"/>
          <w:szCs w:val="28"/>
        </w:rPr>
      </w:pPr>
      <w:r>
        <w:rPr>
          <w:rFonts w:hint="eastAsia" w:ascii="Times New Roman" w:hAnsi="Times New Roman" w:eastAsia="仿宋"/>
          <w:b/>
          <w:sz w:val="28"/>
          <w:szCs w:val="28"/>
        </w:rPr>
        <w:t>（3）建设目标</w:t>
      </w:r>
    </w:p>
    <w:p>
      <w:pPr>
        <w:spacing w:line="540" w:lineRule="exact"/>
        <w:ind w:firstLine="560" w:firstLineChars="200"/>
        <w:rPr>
          <w:rFonts w:ascii="仿宋" w:hAnsi="仿宋" w:eastAsia="仿宋" w:cs="仿宋"/>
          <w:b/>
          <w:bCs/>
          <w:sz w:val="28"/>
          <w:szCs w:val="28"/>
        </w:rPr>
      </w:pPr>
      <w:r>
        <w:rPr>
          <w:rFonts w:ascii="仿宋" w:hAnsi="仿宋" w:eastAsia="仿宋" w:cs="仿宋"/>
          <w:bCs/>
          <w:sz w:val="28"/>
          <w:szCs w:val="28"/>
        </w:rPr>
        <w:t>优化管理流程，简化决策程序，提高工作效率和质量，构建高效的教育管理体系</w:t>
      </w:r>
      <w:r>
        <w:rPr>
          <w:rFonts w:hint="eastAsia" w:ascii="仿宋" w:hAnsi="仿宋" w:eastAsia="仿宋" w:cs="仿宋"/>
          <w:bCs/>
          <w:sz w:val="28"/>
          <w:szCs w:val="28"/>
        </w:rPr>
        <w:t>；</w:t>
      </w:r>
      <w:r>
        <w:rPr>
          <w:rFonts w:ascii="仿宋" w:hAnsi="仿宋" w:eastAsia="仿宋" w:cs="仿宋"/>
          <w:bCs/>
          <w:sz w:val="28"/>
          <w:szCs w:val="28"/>
        </w:rPr>
        <w:t>激发教职工的创新活力，推动教育教学改革和科研成果转化，培养更多适应社会需求的高素质技术人才</w:t>
      </w:r>
      <w:r>
        <w:rPr>
          <w:rFonts w:hint="eastAsia" w:ascii="仿宋" w:hAnsi="仿宋" w:eastAsia="仿宋" w:cs="仿宋"/>
          <w:bCs/>
          <w:sz w:val="28"/>
          <w:szCs w:val="28"/>
        </w:rPr>
        <w:t>；</w:t>
      </w:r>
      <w:r>
        <w:rPr>
          <w:rFonts w:ascii="仿宋" w:hAnsi="仿宋" w:eastAsia="仿宋" w:cs="仿宋"/>
          <w:bCs/>
          <w:sz w:val="28"/>
          <w:szCs w:val="28"/>
        </w:rPr>
        <w:t>优化资源配置，提高教育资源的利用效率，实现资源的合理分配和有效利用，提升教学质量和服务水平</w:t>
      </w:r>
      <w:r>
        <w:rPr>
          <w:rFonts w:hint="eastAsia" w:ascii="仿宋" w:hAnsi="仿宋" w:eastAsia="仿宋" w:cs="仿宋"/>
          <w:bCs/>
          <w:sz w:val="28"/>
          <w:szCs w:val="28"/>
        </w:rPr>
        <w:t>；</w:t>
      </w:r>
      <w:r>
        <w:rPr>
          <w:rFonts w:ascii="仿宋" w:hAnsi="仿宋" w:eastAsia="仿宋" w:cs="仿宋"/>
          <w:bCs/>
          <w:sz w:val="28"/>
          <w:szCs w:val="28"/>
        </w:rPr>
        <w:t>加强师资队伍建设，</w:t>
      </w:r>
      <w:r>
        <w:rPr>
          <w:rFonts w:hint="eastAsia" w:ascii="仿宋" w:hAnsi="仿宋" w:eastAsia="仿宋" w:cs="仿宋"/>
          <w:bCs/>
          <w:sz w:val="28"/>
          <w:szCs w:val="28"/>
        </w:rPr>
        <w:t>提升</w:t>
      </w:r>
      <w:r>
        <w:rPr>
          <w:rFonts w:ascii="仿宋" w:hAnsi="仿宋" w:eastAsia="仿宋" w:cs="仿宋"/>
          <w:bCs/>
          <w:sz w:val="28"/>
          <w:szCs w:val="28"/>
        </w:rPr>
        <w:t>教师的教学水平和专业素养，提高教育教学质量</w:t>
      </w:r>
      <w:r>
        <w:rPr>
          <w:rFonts w:hint="eastAsia" w:ascii="仿宋" w:hAnsi="仿宋" w:eastAsia="仿宋" w:cs="仿宋"/>
          <w:bCs/>
          <w:sz w:val="28"/>
          <w:szCs w:val="28"/>
        </w:rPr>
        <w:t>；</w:t>
      </w:r>
      <w:r>
        <w:rPr>
          <w:rFonts w:ascii="仿宋" w:hAnsi="仿宋" w:eastAsia="仿宋" w:cs="仿宋"/>
          <w:bCs/>
          <w:sz w:val="28"/>
          <w:szCs w:val="28"/>
        </w:rPr>
        <w:t>改革</w:t>
      </w:r>
      <w:r>
        <w:rPr>
          <w:rFonts w:hint="eastAsia" w:ascii="仿宋" w:hAnsi="仿宋" w:eastAsia="仿宋" w:cs="仿宋"/>
          <w:bCs/>
          <w:sz w:val="28"/>
          <w:szCs w:val="28"/>
        </w:rPr>
        <w:t>创新机制体系，</w:t>
      </w:r>
      <w:r>
        <w:rPr>
          <w:rFonts w:hint="eastAsia" w:ascii="仿宋" w:hAnsi="仿宋" w:eastAsia="仿宋" w:cs="仿宋"/>
          <w:color w:val="000000"/>
          <w:sz w:val="28"/>
          <w:szCs w:val="28"/>
        </w:rPr>
        <w:t>构建以章程为统领，系统完备，科学规范，运行有效的制度体系，</w:t>
      </w:r>
      <w:r>
        <w:rPr>
          <w:rFonts w:ascii="仿宋" w:hAnsi="仿宋" w:eastAsia="仿宋" w:cs="仿宋"/>
          <w:bCs/>
          <w:sz w:val="28"/>
          <w:szCs w:val="28"/>
        </w:rPr>
        <w:t>促进</w:t>
      </w:r>
      <w:r>
        <w:rPr>
          <w:rFonts w:hint="eastAsia" w:ascii="仿宋" w:hAnsi="仿宋" w:eastAsia="仿宋" w:cs="仿宋"/>
          <w:bCs/>
          <w:sz w:val="28"/>
          <w:szCs w:val="28"/>
        </w:rPr>
        <w:t>学术</w:t>
      </w:r>
      <w:r>
        <w:rPr>
          <w:rFonts w:ascii="仿宋" w:hAnsi="仿宋" w:eastAsia="仿宋" w:cs="仿宋"/>
          <w:bCs/>
          <w:sz w:val="28"/>
          <w:szCs w:val="28"/>
        </w:rPr>
        <w:t>科研创新，提高科研成果转化和应用能力，推动学校的科研水平和</w:t>
      </w:r>
      <w:r>
        <w:rPr>
          <w:rFonts w:hint="eastAsia" w:ascii="仿宋" w:hAnsi="仿宋" w:eastAsia="仿宋" w:cs="仿宋"/>
          <w:bCs/>
          <w:sz w:val="28"/>
          <w:szCs w:val="28"/>
        </w:rPr>
        <w:t>学术水平</w:t>
      </w:r>
      <w:r>
        <w:rPr>
          <w:rFonts w:ascii="仿宋" w:hAnsi="仿宋" w:eastAsia="仿宋" w:cs="仿宋"/>
          <w:bCs/>
          <w:sz w:val="28"/>
          <w:szCs w:val="28"/>
        </w:rPr>
        <w:t>不断提升。</w:t>
      </w:r>
    </w:p>
    <w:p>
      <w:pPr>
        <w:keepNext/>
        <w:keepLines/>
        <w:spacing w:line="540" w:lineRule="exact"/>
        <w:ind w:firstLine="562" w:firstLineChars="200"/>
        <w:outlineLvl w:val="3"/>
        <w:rPr>
          <w:rFonts w:ascii="Times New Roman" w:hAnsi="Times New Roman" w:eastAsia="仿宋"/>
          <w:b/>
          <w:sz w:val="28"/>
          <w:szCs w:val="28"/>
        </w:rPr>
      </w:pPr>
      <w:r>
        <w:rPr>
          <w:rFonts w:hint="eastAsia" w:ascii="Times New Roman" w:hAnsi="Times New Roman" w:eastAsia="仿宋"/>
          <w:b/>
          <w:sz w:val="28"/>
          <w:szCs w:val="28"/>
        </w:rPr>
        <w:t>（4）重点建设任务</w:t>
      </w:r>
    </w:p>
    <w:p>
      <w:pPr>
        <w:spacing w:line="540" w:lineRule="exact"/>
        <w:ind w:firstLine="562" w:firstLineChars="200"/>
        <w:rPr>
          <w:rFonts w:ascii="仿宋" w:hAnsi="仿宋" w:eastAsia="仿宋" w:cs="仿宋"/>
          <w:b/>
          <w:bCs/>
          <w:color w:val="000000"/>
          <w:sz w:val="28"/>
          <w:szCs w:val="28"/>
        </w:rPr>
      </w:pPr>
      <w:r>
        <w:rPr>
          <w:rFonts w:ascii="仿宋" w:hAnsi="仿宋" w:eastAsia="仿宋" w:cs="仿宋"/>
          <w:b/>
          <w:bCs/>
          <w:color w:val="000000"/>
          <w:sz w:val="28"/>
          <w:szCs w:val="28"/>
        </w:rPr>
        <w:fldChar w:fldCharType="begin"/>
      </w:r>
      <w:r>
        <w:rPr>
          <w:rFonts w:ascii="仿宋" w:hAnsi="仿宋" w:eastAsia="仿宋" w:cs="仿宋"/>
          <w:b/>
          <w:bCs/>
          <w:color w:val="000000"/>
          <w:sz w:val="28"/>
          <w:szCs w:val="28"/>
        </w:rPr>
        <w:instrText xml:space="preserve"> </w:instrText>
      </w:r>
      <w:r>
        <w:rPr>
          <w:rFonts w:hint="eastAsia" w:ascii="仿宋" w:hAnsi="仿宋" w:eastAsia="仿宋" w:cs="仿宋"/>
          <w:b/>
          <w:bCs/>
          <w:color w:val="000000"/>
          <w:sz w:val="28"/>
          <w:szCs w:val="28"/>
        </w:rPr>
        <w:instrText xml:space="preserve">= 1 \* GB3</w:instrText>
      </w:r>
      <w:r>
        <w:rPr>
          <w:rFonts w:ascii="仿宋" w:hAnsi="仿宋" w:eastAsia="仿宋" w:cs="仿宋"/>
          <w:b/>
          <w:bCs/>
          <w:color w:val="000000"/>
          <w:sz w:val="28"/>
          <w:szCs w:val="28"/>
        </w:rPr>
        <w:instrText xml:space="preserve"> </w:instrText>
      </w:r>
      <w:r>
        <w:rPr>
          <w:rFonts w:ascii="仿宋" w:hAnsi="仿宋" w:eastAsia="仿宋" w:cs="仿宋"/>
          <w:b/>
          <w:bCs/>
          <w:color w:val="000000"/>
          <w:sz w:val="28"/>
          <w:szCs w:val="28"/>
        </w:rPr>
        <w:fldChar w:fldCharType="separate"/>
      </w:r>
      <w:r>
        <w:rPr>
          <w:rFonts w:hint="eastAsia" w:ascii="仿宋" w:hAnsi="仿宋" w:eastAsia="仿宋" w:cs="仿宋"/>
          <w:b/>
          <w:bCs/>
          <w:color w:val="000000"/>
          <w:sz w:val="28"/>
          <w:szCs w:val="28"/>
        </w:rPr>
        <w:t>①</w:t>
      </w:r>
      <w:r>
        <w:rPr>
          <w:rFonts w:ascii="仿宋" w:hAnsi="仿宋" w:eastAsia="仿宋" w:cs="仿宋"/>
          <w:b/>
          <w:bCs/>
          <w:color w:val="000000"/>
          <w:sz w:val="28"/>
          <w:szCs w:val="28"/>
        </w:rPr>
        <w:fldChar w:fldCharType="end"/>
      </w:r>
      <w:r>
        <w:rPr>
          <w:rFonts w:hint="eastAsia" w:ascii="仿宋" w:hAnsi="仿宋" w:eastAsia="仿宋" w:cs="仿宋"/>
          <w:b/>
          <w:bCs/>
          <w:color w:val="000000"/>
          <w:sz w:val="28"/>
          <w:szCs w:val="28"/>
        </w:rPr>
        <w:t xml:space="preserve"> 完善以章程为统领的学校制度体系</w:t>
      </w:r>
    </w:p>
    <w:p>
      <w:pPr>
        <w:spacing w:line="54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坚持依法治教、依法治校，以现代大学制度建设为抓手加强规章制度建设，构建以章程为统领，系统完备，科学规范，运行有效的制度体系，为学校发展提供强有力的制度保障。以人事分配制度、财务管理制度、绩效评价制度建设为突破口，实现学校教育治理的法治化、内容程序的规范化，构建新型的职业教育治理秩序，推进学校治理现代化 。</w:t>
      </w:r>
    </w:p>
    <w:p>
      <w:pPr>
        <w:spacing w:line="540" w:lineRule="exact"/>
        <w:ind w:firstLine="562" w:firstLineChars="200"/>
        <w:rPr>
          <w:rFonts w:ascii="仿宋" w:hAnsi="仿宋" w:eastAsia="仿宋" w:cs="仿宋"/>
          <w:b/>
          <w:bCs/>
          <w:color w:val="000000"/>
          <w:sz w:val="28"/>
          <w:szCs w:val="28"/>
        </w:rPr>
      </w:pPr>
      <w:r>
        <w:rPr>
          <w:rFonts w:ascii="仿宋" w:hAnsi="仿宋" w:eastAsia="仿宋" w:cs="仿宋"/>
          <w:b/>
          <w:bCs/>
          <w:color w:val="000000"/>
          <w:sz w:val="28"/>
          <w:szCs w:val="28"/>
        </w:rPr>
        <w:fldChar w:fldCharType="begin"/>
      </w:r>
      <w:r>
        <w:rPr>
          <w:rFonts w:ascii="仿宋" w:hAnsi="仿宋" w:eastAsia="仿宋" w:cs="仿宋"/>
          <w:b/>
          <w:bCs/>
          <w:color w:val="000000"/>
          <w:sz w:val="28"/>
          <w:szCs w:val="28"/>
        </w:rPr>
        <w:instrText xml:space="preserve"> </w:instrText>
      </w:r>
      <w:r>
        <w:rPr>
          <w:rFonts w:hint="eastAsia" w:ascii="仿宋" w:hAnsi="仿宋" w:eastAsia="仿宋" w:cs="仿宋"/>
          <w:b/>
          <w:bCs/>
          <w:color w:val="000000"/>
          <w:sz w:val="28"/>
          <w:szCs w:val="28"/>
        </w:rPr>
        <w:instrText xml:space="preserve">= 2 \* GB3</w:instrText>
      </w:r>
      <w:r>
        <w:rPr>
          <w:rFonts w:ascii="仿宋" w:hAnsi="仿宋" w:eastAsia="仿宋" w:cs="仿宋"/>
          <w:b/>
          <w:bCs/>
          <w:color w:val="000000"/>
          <w:sz w:val="28"/>
          <w:szCs w:val="28"/>
        </w:rPr>
        <w:instrText xml:space="preserve"> </w:instrText>
      </w:r>
      <w:r>
        <w:rPr>
          <w:rFonts w:ascii="仿宋" w:hAnsi="仿宋" w:eastAsia="仿宋" w:cs="仿宋"/>
          <w:b/>
          <w:bCs/>
          <w:color w:val="000000"/>
          <w:sz w:val="28"/>
          <w:szCs w:val="28"/>
        </w:rPr>
        <w:fldChar w:fldCharType="separate"/>
      </w:r>
      <w:r>
        <w:rPr>
          <w:rFonts w:hint="eastAsia" w:ascii="仿宋" w:hAnsi="仿宋" w:eastAsia="仿宋" w:cs="仿宋"/>
          <w:b/>
          <w:bCs/>
          <w:color w:val="000000"/>
          <w:sz w:val="28"/>
          <w:szCs w:val="28"/>
        </w:rPr>
        <w:t>②</w:t>
      </w:r>
      <w:r>
        <w:rPr>
          <w:rFonts w:ascii="仿宋" w:hAnsi="仿宋" w:eastAsia="仿宋" w:cs="仿宋"/>
          <w:b/>
          <w:bCs/>
          <w:color w:val="000000"/>
          <w:sz w:val="28"/>
          <w:szCs w:val="28"/>
        </w:rPr>
        <w:fldChar w:fldCharType="end"/>
      </w:r>
      <w:r>
        <w:rPr>
          <w:rFonts w:hint="eastAsia" w:ascii="仿宋" w:hAnsi="仿宋" w:eastAsia="仿宋" w:cs="仿宋"/>
          <w:b/>
          <w:bCs/>
          <w:color w:val="000000"/>
          <w:sz w:val="28"/>
          <w:szCs w:val="28"/>
        </w:rPr>
        <w:t xml:space="preserve"> 健全学术事务决策与执行机制</w:t>
      </w:r>
    </w:p>
    <w:p>
      <w:pPr>
        <w:spacing w:line="54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明确学术委员会的职权，优化学术委员会的成员结构，以学术委员会作为校内最高学术机构，统筹行使学术事务的决策、审议、评定和咨询等职权。发挥学术委员会在学科建设、学术评价、学术发展和学风建设等事项上的重要作用。尊重并支持学术委员会独立行使职权，并为学术委员会正常开展工作提供必要的条件保障。</w:t>
      </w:r>
    </w:p>
    <w:p>
      <w:pPr>
        <w:spacing w:line="540" w:lineRule="exact"/>
        <w:ind w:firstLine="562" w:firstLineChars="200"/>
        <w:rPr>
          <w:rFonts w:ascii="仿宋" w:hAnsi="仿宋" w:eastAsia="仿宋" w:cs="仿宋"/>
          <w:b/>
          <w:bCs/>
          <w:color w:val="000000"/>
          <w:sz w:val="28"/>
          <w:szCs w:val="28"/>
        </w:rPr>
      </w:pPr>
      <w:r>
        <w:rPr>
          <w:rFonts w:hint="eastAsia" w:ascii="仿宋" w:hAnsi="仿宋" w:eastAsia="仿宋" w:cs="仿宋"/>
          <w:b/>
          <w:bCs/>
          <w:color w:val="000000"/>
          <w:sz w:val="28"/>
          <w:szCs w:val="28"/>
        </w:rPr>
        <w:fldChar w:fldCharType="begin"/>
      </w:r>
      <w:r>
        <w:rPr>
          <w:rFonts w:hint="eastAsia" w:ascii="仿宋" w:hAnsi="仿宋" w:eastAsia="仿宋" w:cs="仿宋"/>
          <w:b/>
          <w:bCs/>
          <w:color w:val="000000"/>
          <w:sz w:val="28"/>
          <w:szCs w:val="28"/>
        </w:rPr>
        <w:instrText xml:space="preserve"> = 3 \* GB3 </w:instrText>
      </w:r>
      <w:r>
        <w:rPr>
          <w:rFonts w:hint="eastAsia" w:ascii="仿宋" w:hAnsi="仿宋" w:eastAsia="仿宋" w:cs="仿宋"/>
          <w:b/>
          <w:bCs/>
          <w:color w:val="000000"/>
          <w:sz w:val="28"/>
          <w:szCs w:val="28"/>
        </w:rPr>
        <w:fldChar w:fldCharType="separate"/>
      </w:r>
      <w:r>
        <w:rPr>
          <w:rFonts w:hint="eastAsia" w:ascii="仿宋" w:hAnsi="仿宋" w:eastAsia="仿宋" w:cs="仿宋"/>
          <w:b/>
          <w:bCs/>
          <w:color w:val="000000"/>
          <w:sz w:val="28"/>
          <w:szCs w:val="28"/>
        </w:rPr>
        <w:t>③</w:t>
      </w:r>
      <w:r>
        <w:rPr>
          <w:rFonts w:hint="eastAsia" w:ascii="仿宋" w:hAnsi="仿宋" w:eastAsia="仿宋" w:cs="仿宋"/>
          <w:b/>
          <w:bCs/>
          <w:color w:val="000000"/>
          <w:sz w:val="28"/>
          <w:szCs w:val="28"/>
        </w:rPr>
        <w:fldChar w:fldCharType="end"/>
      </w:r>
      <w:r>
        <w:rPr>
          <w:rFonts w:hint="eastAsia" w:ascii="仿宋" w:hAnsi="仿宋" w:eastAsia="仿宋" w:cs="仿宋"/>
          <w:b/>
          <w:bCs/>
          <w:color w:val="000000"/>
          <w:sz w:val="28"/>
          <w:szCs w:val="28"/>
        </w:rPr>
        <w:t xml:space="preserve"> 健全专业建设和教学改革机制</w:t>
      </w:r>
    </w:p>
    <w:p>
      <w:pPr>
        <w:spacing w:line="54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吸纳行业企业骨干力量、技术能手、高级技师，健全学校专业建设指导委员会，推进专业建设和发展。专业建设指导委员会对专业的办学方向、培养目标和课程体系建设、学生就业等方面进行指导。通过专业结构调整、专业方向优化，深化专业内涵建设，形成支持地方产业发展的专业体系。在办学理念、办学定位、办学形式上将产教融入教育教学中。健全学校教材选用委员会和二级学院教材选用委员会，由学校教务处统筹，负责审定学校教材建设规划和年度计划，指导各专业的教材建设、教材研究和教材评价工作，监督全校教材使用与管理情况。加强教学改革，充实师资队伍力量，以教学为中心，强化项目化思想，联合行业企业，引实际项目进入课堂，校企协同育人、合作共赢。</w:t>
      </w:r>
    </w:p>
    <w:p>
      <w:pPr>
        <w:spacing w:line="540" w:lineRule="exact"/>
        <w:ind w:firstLine="562" w:firstLineChars="200"/>
        <w:rPr>
          <w:rFonts w:ascii="仿宋" w:hAnsi="仿宋" w:eastAsia="仿宋" w:cs="仿宋"/>
          <w:b/>
          <w:bCs/>
          <w:color w:val="000000"/>
          <w:sz w:val="28"/>
          <w:szCs w:val="28"/>
        </w:rPr>
      </w:pPr>
      <w:r>
        <w:rPr>
          <w:rFonts w:hint="eastAsia" w:ascii="仿宋" w:hAnsi="仿宋" w:eastAsia="仿宋" w:cs="仿宋"/>
          <w:b/>
          <w:bCs/>
          <w:color w:val="000000"/>
          <w:sz w:val="28"/>
          <w:szCs w:val="28"/>
        </w:rPr>
        <w:t>④ 健全对外合作与交流机制</w:t>
      </w:r>
    </w:p>
    <w:p>
      <w:pPr>
        <w:spacing w:line="54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创新校企合作体制机制，建立“理事会、校企合作执行委员会、专业建设委员会”三者贯通模式，整合共享资源，合作培养技能型专门人才，形成人才共育、过程共管、成果共享的紧密合作型机制。围绕电子信息、物联网、大数据、新能源等产业链，继续加强与海尔智能家电科技有限公司、TCL集团、锐捷网络股份有限公司、比亚迪电子有限公司等合作建立产业学院，组建教育教学、生产经营利益共同体。充分发挥企业主体作用，在招生就业、人才培养、企业培训、技术服务等诸多方面实现校企互融。加强校内外实训基地建设，使“校中厂”与“厂中校”相结合。积极组织参与校内外学术会议交流。组织学校农村科技特派员下乡开展科技服务，助力乡村振兴。面向社会并按市场化运作实施对外培训。</w:t>
      </w:r>
    </w:p>
    <w:p>
      <w:pPr>
        <w:spacing w:line="540" w:lineRule="exact"/>
        <w:ind w:firstLine="562" w:firstLineChars="200"/>
        <w:rPr>
          <w:rFonts w:ascii="仿宋" w:hAnsi="仿宋" w:eastAsia="仿宋" w:cs="仿宋"/>
          <w:b/>
          <w:bCs/>
          <w:color w:val="000000"/>
          <w:sz w:val="28"/>
          <w:szCs w:val="28"/>
        </w:rPr>
      </w:pPr>
      <w:r>
        <w:rPr>
          <w:rFonts w:hint="eastAsia" w:ascii="仿宋" w:hAnsi="仿宋" w:eastAsia="仿宋" w:cs="仿宋"/>
          <w:b/>
          <w:bCs/>
          <w:color w:val="000000"/>
          <w:sz w:val="28"/>
          <w:szCs w:val="28"/>
        </w:rPr>
        <w:t>⑤ 优化管理流程，简化决策程序，提高工作效率和质量，优化“放管服”制度机制</w:t>
      </w:r>
    </w:p>
    <w:p>
      <w:pPr>
        <w:spacing w:line="54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持续推进“放管服”改革，探索实施院、系两级管理，对管理流程的优化，学校将精简繁琐的流程步骤，提升决策效率；管理重心适当下移，完善党政部门职责及人员配置，强化党政部门分工协作与二级学院管理改革。修订完善学校教师职称评审方案；完善学校绩效考核工作，修订完善学校绩效考核办法。建立学校容错纠错机制，支持改革创新者、宽容非主观失误者、治理不作为乱作为者、惩治贪污腐败者。完善教代会和学代会决策、议事、监督管理，畅通师生参与学校事务管理决策和监督渠道。以学校《探索具有中国特色的高层次学徒制》《深化美育评价改革》两个项目获立项为契机，继续加强各项教育评价改革试点工作任务的督促落实，推动学校教育评价改革。</w:t>
      </w:r>
    </w:p>
    <w:p>
      <w:pPr>
        <w:spacing w:line="540" w:lineRule="exact"/>
        <w:ind w:firstLine="562" w:firstLineChars="200"/>
        <w:rPr>
          <w:rFonts w:ascii="仿宋" w:hAnsi="仿宋" w:eastAsia="仿宋" w:cs="仿宋"/>
          <w:b/>
          <w:bCs/>
          <w:color w:val="000000"/>
          <w:sz w:val="28"/>
          <w:szCs w:val="28"/>
        </w:rPr>
      </w:pPr>
      <w:r>
        <w:rPr>
          <w:rFonts w:hint="eastAsia" w:ascii="仿宋" w:hAnsi="仿宋" w:eastAsia="仿宋" w:cs="仿宋"/>
          <w:b/>
          <w:bCs/>
          <w:color w:val="000000"/>
          <w:sz w:val="28"/>
          <w:szCs w:val="28"/>
        </w:rPr>
        <w:t>⑥ 完善激励评价机制</w:t>
      </w:r>
    </w:p>
    <w:p>
      <w:pPr>
        <w:spacing w:line="54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推进破“五唯”改革，激发内生动力。改革教师职称评审制度，建立按岗位分类评聘、业绩成果可替代论文课题、标志性成果可直聘上一级职称等制度；建立以教学业绩为导向的分类考核评价机制。根据教学为主型、教学科研并重型、科研型、社会服务型等不同类型的教师实施分类管理、考核和评价。以“双高计划”重点任务指标为牵引，加大教学成果奖、教学能力、技能大赛、教材建设等在考核评价中的权重。比如，获得标志性成果的教师直接考核为优秀；改革绩效分配机制。建立以能力、水平、业绩、贡献为导向的绩效分配机制，不断完善绩效分配、职务晋升、精神表彰、末位帮扶等系列激励政策。同时打破职务聘任“终身制”、薪酬激励“天花板”，健全以“优绩优酬”导向的绩效工资动态调整机制。</w:t>
      </w:r>
    </w:p>
    <w:p>
      <w:pPr>
        <w:spacing w:line="540" w:lineRule="exact"/>
        <w:ind w:firstLine="562" w:firstLineChars="200"/>
        <w:rPr>
          <w:rFonts w:ascii="仿宋" w:hAnsi="仿宋" w:eastAsia="仿宋" w:cs="仿宋"/>
          <w:b/>
          <w:bCs/>
          <w:color w:val="000000"/>
          <w:sz w:val="28"/>
          <w:szCs w:val="28"/>
        </w:rPr>
      </w:pPr>
      <w:r>
        <w:rPr>
          <w:rFonts w:hint="eastAsia" w:ascii="仿宋" w:hAnsi="仿宋" w:eastAsia="仿宋" w:cs="仿宋"/>
          <w:b/>
          <w:bCs/>
          <w:color w:val="000000"/>
          <w:sz w:val="28"/>
          <w:szCs w:val="28"/>
        </w:rPr>
        <w:t>⑦ 建立质量保障机制</w:t>
      </w:r>
    </w:p>
    <w:p>
      <w:pPr>
        <w:spacing w:line="540" w:lineRule="exact"/>
        <w:ind w:firstLine="560" w:firstLineChars="200"/>
        <w:rPr>
          <w:rFonts w:ascii="仿宋" w:hAnsi="仿宋" w:eastAsia="仿宋" w:cs="仿宋"/>
          <w:bCs/>
          <w:sz w:val="28"/>
          <w:szCs w:val="28"/>
        </w:rPr>
      </w:pPr>
      <w:r>
        <w:rPr>
          <w:rFonts w:hint="eastAsia" w:ascii="仿宋" w:hAnsi="仿宋" w:eastAsia="仿宋" w:cs="仿宋"/>
          <w:color w:val="000000"/>
          <w:sz w:val="28"/>
          <w:szCs w:val="28"/>
        </w:rPr>
        <w:t>围绕“双高计划”的建设任务，不断完善以持续改进教学质量为重点的内部质量保障机制。建立以适应社会需求能力、动态调整能力、服务贡献能力三大能力为导向的专业群诊断改进机制。根据专业群的专业定位、服务面向及技术服务等情况，结合人才培养与区域经济产业链需求的匹配度，采用定性与定量相结合的办法，对专业群进行科学评价，并实施基于动态评价结果的专业群“红黄蓝牌”预警机制，实现专业群合理布局与柔性治理；建立人才培养质量诊改数据监测与管理平台，充分利用高职人才培养工作状态数据采集管理平台、高等教育学校（机构）统计报表，以及其他第三方评价数据积累平台等大数据平台定期对人才培养工作状态数据进行比对与分析，不断健全跟踪、分析、诊断、改进等制度，以教学质量国家标准为引领，推进内部诊断改进制度建设；建立“政府+企业+社会+学生+家长”“互联网+”多元监控模式，创新监控形式，优化监控环节，形成内部监控与外部监控相互补充、相互促进的监控体系，同时还要加强监督制约，确保监控体系行之有效。</w:t>
      </w:r>
    </w:p>
    <w:p>
      <w:pPr>
        <w:keepNext/>
        <w:keepLines/>
        <w:spacing w:line="540" w:lineRule="exact"/>
        <w:ind w:firstLine="562" w:firstLineChars="200"/>
        <w:outlineLvl w:val="3"/>
        <w:rPr>
          <w:rFonts w:ascii="Times New Roman" w:hAnsi="Times New Roman" w:eastAsia="仿宋"/>
          <w:b/>
          <w:sz w:val="28"/>
          <w:szCs w:val="28"/>
        </w:rPr>
      </w:pPr>
      <w:r>
        <w:rPr>
          <w:rFonts w:hint="eastAsia" w:ascii="Times New Roman" w:hAnsi="Times New Roman" w:eastAsia="仿宋"/>
          <w:b/>
          <w:sz w:val="28"/>
          <w:szCs w:val="28"/>
        </w:rPr>
        <w:t>（5）建设计划</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3"/>
        <w:gridCol w:w="1788"/>
        <w:gridCol w:w="3560"/>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3" w:type="dxa"/>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年度</w:t>
            </w:r>
          </w:p>
        </w:tc>
        <w:tc>
          <w:tcPr>
            <w:tcW w:w="1788" w:type="dxa"/>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建设任务</w:t>
            </w:r>
          </w:p>
        </w:tc>
        <w:tc>
          <w:tcPr>
            <w:tcW w:w="3560" w:type="dxa"/>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建设内容</w:t>
            </w:r>
          </w:p>
        </w:tc>
        <w:tc>
          <w:tcPr>
            <w:tcW w:w="1559" w:type="dxa"/>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负责部门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3" w:type="dxa"/>
            <w:vMerge w:val="restart"/>
            <w:vAlign w:val="center"/>
          </w:tcPr>
          <w:p>
            <w:pPr>
              <w:jc w:val="center"/>
              <w:rPr>
                <w:rFonts w:ascii="仿宋" w:hAnsi="仿宋" w:eastAsia="仿宋" w:cs="仿宋"/>
                <w:b/>
                <w:szCs w:val="21"/>
              </w:rPr>
            </w:pPr>
            <w:r>
              <w:rPr>
                <w:rFonts w:hint="eastAsia" w:ascii="仿宋" w:hAnsi="仿宋" w:eastAsia="仿宋" w:cs="仿宋"/>
                <w:b/>
                <w:szCs w:val="21"/>
              </w:rPr>
              <w:t>2023</w:t>
            </w:r>
          </w:p>
        </w:tc>
        <w:tc>
          <w:tcPr>
            <w:tcW w:w="1788" w:type="dxa"/>
            <w:vAlign w:val="center"/>
          </w:tcPr>
          <w:p>
            <w:pPr>
              <w:spacing w:line="260" w:lineRule="exact"/>
              <w:rPr>
                <w:rFonts w:ascii="仿宋" w:hAnsi="仿宋" w:eastAsia="仿宋" w:cs="仿宋"/>
                <w:bCs/>
                <w:color w:val="000000"/>
                <w:szCs w:val="21"/>
              </w:rPr>
            </w:pPr>
            <w:r>
              <w:rPr>
                <w:rFonts w:hint="eastAsia" w:ascii="仿宋" w:hAnsi="仿宋" w:eastAsia="仿宋" w:cs="仿宋"/>
                <w:bCs/>
                <w:color w:val="000000"/>
                <w:szCs w:val="21"/>
              </w:rPr>
              <w:t>完善以章程为统领的学校制度体系</w:t>
            </w:r>
          </w:p>
        </w:tc>
        <w:tc>
          <w:tcPr>
            <w:tcW w:w="3560" w:type="dxa"/>
            <w:vAlign w:val="center"/>
          </w:tcPr>
          <w:p>
            <w:pPr>
              <w:spacing w:line="260" w:lineRule="exact"/>
              <w:rPr>
                <w:rFonts w:ascii="仿宋" w:hAnsi="仿宋" w:eastAsia="仿宋" w:cs="仿宋"/>
                <w:bCs/>
                <w:color w:val="000000"/>
                <w:szCs w:val="21"/>
              </w:rPr>
            </w:pPr>
            <w:r>
              <w:rPr>
                <w:rFonts w:hint="eastAsia" w:ascii="仿宋" w:hAnsi="仿宋" w:eastAsia="仿宋" w:cs="仿宋"/>
                <w:bCs/>
                <w:color w:val="000000"/>
                <w:szCs w:val="21"/>
              </w:rPr>
              <w:t>成立制度建设工作组，制定章程修订方案并逐步推进实施，重点加强人事分配制度、财务管理制度、绩效评价制度的建设，确保制度的科学规范和运行有效性。</w:t>
            </w:r>
          </w:p>
        </w:tc>
        <w:tc>
          <w:tcPr>
            <w:tcW w:w="1559" w:type="dxa"/>
            <w:vAlign w:val="center"/>
          </w:tcPr>
          <w:p>
            <w:pPr>
              <w:jc w:val="center"/>
              <w:rPr>
                <w:rFonts w:ascii="仿宋" w:hAnsi="仿宋" w:eastAsia="仿宋" w:cs="仿宋"/>
                <w:bCs/>
                <w:color w:val="000000"/>
                <w:szCs w:val="21"/>
              </w:rPr>
            </w:pPr>
            <w:r>
              <w:rPr>
                <w:rFonts w:hint="eastAsia" w:ascii="仿宋" w:hAnsi="仿宋" w:eastAsia="仿宋" w:cs="仿宋"/>
                <w:bCs/>
                <w:color w:val="000000"/>
                <w:szCs w:val="21"/>
              </w:rPr>
              <w:t>党政办公室、发展规划处、人事处、财务处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3" w:type="dxa"/>
            <w:vMerge w:val="continue"/>
            <w:vAlign w:val="center"/>
          </w:tcPr>
          <w:p>
            <w:pPr>
              <w:jc w:val="center"/>
              <w:rPr>
                <w:rFonts w:ascii="仿宋" w:hAnsi="仿宋" w:eastAsia="仿宋" w:cs="仿宋"/>
                <w:b/>
                <w:szCs w:val="21"/>
              </w:rPr>
            </w:pPr>
          </w:p>
        </w:tc>
        <w:tc>
          <w:tcPr>
            <w:tcW w:w="1788" w:type="dxa"/>
            <w:vAlign w:val="center"/>
          </w:tcPr>
          <w:p>
            <w:pPr>
              <w:spacing w:line="260" w:lineRule="exact"/>
              <w:rPr>
                <w:rFonts w:ascii="仿宋" w:hAnsi="仿宋" w:eastAsia="仿宋" w:cs="仿宋"/>
                <w:bCs/>
                <w:color w:val="000000"/>
                <w:szCs w:val="21"/>
              </w:rPr>
            </w:pPr>
            <w:r>
              <w:rPr>
                <w:rFonts w:hint="eastAsia" w:ascii="仿宋" w:hAnsi="仿宋" w:eastAsia="仿宋" w:cs="仿宋"/>
                <w:bCs/>
                <w:color w:val="000000"/>
                <w:szCs w:val="21"/>
              </w:rPr>
              <w:t>健全学术事务决策与执行机制</w:t>
            </w:r>
          </w:p>
        </w:tc>
        <w:tc>
          <w:tcPr>
            <w:tcW w:w="3560" w:type="dxa"/>
            <w:vAlign w:val="center"/>
          </w:tcPr>
          <w:p>
            <w:pPr>
              <w:spacing w:line="260" w:lineRule="exact"/>
              <w:rPr>
                <w:rFonts w:ascii="仿宋" w:hAnsi="仿宋" w:eastAsia="仿宋" w:cs="仿宋"/>
                <w:bCs/>
                <w:color w:val="000000"/>
                <w:szCs w:val="21"/>
              </w:rPr>
            </w:pPr>
            <w:r>
              <w:rPr>
                <w:rFonts w:hint="eastAsia" w:ascii="仿宋" w:hAnsi="仿宋" w:eastAsia="仿宋" w:cs="仿宋"/>
                <w:bCs/>
                <w:color w:val="000000"/>
                <w:szCs w:val="21"/>
              </w:rPr>
              <w:t>组织学术委员会成员结构的优化调整，并明确学术委员会的职权和责任，建立学术委员会作为学术事务决策、审议和评定的核心机构。</w:t>
            </w:r>
          </w:p>
        </w:tc>
        <w:tc>
          <w:tcPr>
            <w:tcW w:w="1559" w:type="dxa"/>
            <w:vAlign w:val="center"/>
          </w:tcPr>
          <w:p>
            <w:pPr>
              <w:jc w:val="center"/>
              <w:rPr>
                <w:rFonts w:ascii="仿宋" w:hAnsi="仿宋" w:eastAsia="仿宋" w:cs="仿宋"/>
                <w:bCs/>
                <w:color w:val="000000"/>
                <w:szCs w:val="21"/>
              </w:rPr>
            </w:pPr>
            <w:r>
              <w:rPr>
                <w:rFonts w:hint="eastAsia" w:ascii="仿宋" w:hAnsi="仿宋" w:eastAsia="仿宋" w:cs="仿宋"/>
                <w:bCs/>
                <w:color w:val="000000"/>
                <w:szCs w:val="21"/>
              </w:rPr>
              <w:t>科技处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3" w:type="dxa"/>
            <w:vMerge w:val="continue"/>
            <w:vAlign w:val="center"/>
          </w:tcPr>
          <w:p>
            <w:pPr>
              <w:jc w:val="center"/>
              <w:rPr>
                <w:rFonts w:ascii="仿宋" w:hAnsi="仿宋" w:eastAsia="仿宋" w:cs="仿宋"/>
                <w:b/>
                <w:szCs w:val="21"/>
              </w:rPr>
            </w:pPr>
          </w:p>
        </w:tc>
        <w:tc>
          <w:tcPr>
            <w:tcW w:w="1788" w:type="dxa"/>
            <w:vAlign w:val="center"/>
          </w:tcPr>
          <w:p>
            <w:pPr>
              <w:spacing w:line="260" w:lineRule="exact"/>
              <w:rPr>
                <w:rFonts w:ascii="仿宋" w:hAnsi="仿宋" w:eastAsia="仿宋" w:cs="仿宋"/>
                <w:bCs/>
                <w:color w:val="000000"/>
                <w:szCs w:val="21"/>
              </w:rPr>
            </w:pPr>
            <w:r>
              <w:rPr>
                <w:rFonts w:hint="eastAsia" w:ascii="仿宋" w:hAnsi="仿宋" w:eastAsia="仿宋" w:cs="仿宋"/>
                <w:bCs/>
                <w:color w:val="000000"/>
                <w:szCs w:val="21"/>
              </w:rPr>
              <w:t>优化管理流程，简化决策程序</w:t>
            </w:r>
          </w:p>
        </w:tc>
        <w:tc>
          <w:tcPr>
            <w:tcW w:w="3560" w:type="dxa"/>
            <w:vAlign w:val="center"/>
          </w:tcPr>
          <w:p>
            <w:pPr>
              <w:spacing w:line="260" w:lineRule="exact"/>
              <w:rPr>
                <w:rFonts w:ascii="仿宋" w:hAnsi="仿宋" w:eastAsia="仿宋" w:cs="仿宋"/>
                <w:bCs/>
                <w:color w:val="000000"/>
                <w:szCs w:val="21"/>
              </w:rPr>
            </w:pPr>
            <w:r>
              <w:rPr>
                <w:rFonts w:hint="eastAsia" w:ascii="仿宋" w:hAnsi="仿宋" w:eastAsia="仿宋" w:cs="仿宋"/>
                <w:bCs/>
                <w:color w:val="000000"/>
                <w:szCs w:val="21"/>
              </w:rPr>
              <w:t>提高工作效率和质量，构建高效的教育管理体系。</w:t>
            </w:r>
          </w:p>
        </w:tc>
        <w:tc>
          <w:tcPr>
            <w:tcW w:w="1559" w:type="dxa"/>
            <w:vAlign w:val="center"/>
          </w:tcPr>
          <w:p>
            <w:pPr>
              <w:jc w:val="center"/>
              <w:rPr>
                <w:rFonts w:ascii="仿宋" w:hAnsi="仿宋" w:eastAsia="仿宋" w:cs="仿宋"/>
                <w:bCs/>
                <w:color w:val="000000"/>
                <w:szCs w:val="21"/>
              </w:rPr>
            </w:pPr>
            <w:r>
              <w:rPr>
                <w:rFonts w:hint="eastAsia" w:ascii="仿宋" w:hAnsi="仿宋" w:eastAsia="仿宋" w:cs="仿宋"/>
                <w:bCs/>
                <w:color w:val="000000"/>
                <w:szCs w:val="21"/>
              </w:rPr>
              <w:t>党政办公室、机关各职能部门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3" w:type="dxa"/>
            <w:vMerge w:val="restart"/>
            <w:vAlign w:val="center"/>
          </w:tcPr>
          <w:p>
            <w:pPr>
              <w:jc w:val="center"/>
              <w:rPr>
                <w:rFonts w:ascii="仿宋" w:hAnsi="仿宋" w:eastAsia="仿宋" w:cs="仿宋"/>
                <w:b/>
                <w:szCs w:val="21"/>
              </w:rPr>
            </w:pPr>
            <w:r>
              <w:rPr>
                <w:rFonts w:hint="eastAsia" w:ascii="仿宋" w:hAnsi="仿宋" w:eastAsia="仿宋" w:cs="仿宋"/>
                <w:b/>
                <w:szCs w:val="21"/>
              </w:rPr>
              <w:t>2024</w:t>
            </w:r>
          </w:p>
        </w:tc>
        <w:tc>
          <w:tcPr>
            <w:tcW w:w="1788" w:type="dxa"/>
            <w:vAlign w:val="center"/>
          </w:tcPr>
          <w:p>
            <w:pPr>
              <w:spacing w:line="260" w:lineRule="exact"/>
              <w:rPr>
                <w:rFonts w:ascii="仿宋" w:hAnsi="仿宋" w:eastAsia="仿宋" w:cs="仿宋"/>
                <w:bCs/>
                <w:color w:val="000000"/>
                <w:szCs w:val="21"/>
              </w:rPr>
            </w:pPr>
            <w:r>
              <w:rPr>
                <w:rFonts w:hint="eastAsia" w:ascii="仿宋" w:hAnsi="仿宋" w:eastAsia="仿宋" w:cs="仿宋"/>
                <w:bCs/>
                <w:color w:val="000000"/>
                <w:szCs w:val="21"/>
              </w:rPr>
              <w:t>健全专业建设和教学改革机制</w:t>
            </w:r>
          </w:p>
        </w:tc>
        <w:tc>
          <w:tcPr>
            <w:tcW w:w="3560" w:type="dxa"/>
            <w:vAlign w:val="center"/>
          </w:tcPr>
          <w:p>
            <w:pPr>
              <w:spacing w:line="260" w:lineRule="exact"/>
              <w:rPr>
                <w:rFonts w:ascii="仿宋" w:hAnsi="仿宋" w:eastAsia="仿宋" w:cs="仿宋"/>
                <w:bCs/>
                <w:color w:val="000000"/>
                <w:szCs w:val="21"/>
              </w:rPr>
            </w:pPr>
            <w:r>
              <w:rPr>
                <w:rFonts w:hint="eastAsia" w:ascii="仿宋" w:hAnsi="仿宋" w:eastAsia="仿宋" w:cs="仿宋"/>
                <w:bCs/>
                <w:color w:val="000000"/>
                <w:szCs w:val="21"/>
              </w:rPr>
              <w:t>建立专业建设指导委员会，制定并推进专业建设和发展规划，优化专业结构，加强校企合作，推动教学改革项目落实。</w:t>
            </w:r>
          </w:p>
        </w:tc>
        <w:tc>
          <w:tcPr>
            <w:tcW w:w="1559" w:type="dxa"/>
            <w:vAlign w:val="center"/>
          </w:tcPr>
          <w:p>
            <w:pPr>
              <w:jc w:val="center"/>
              <w:rPr>
                <w:rFonts w:ascii="仿宋" w:hAnsi="仿宋" w:eastAsia="仿宋" w:cs="仿宋"/>
                <w:bCs/>
                <w:color w:val="000000"/>
                <w:szCs w:val="21"/>
              </w:rPr>
            </w:pPr>
            <w:r>
              <w:rPr>
                <w:rFonts w:hint="eastAsia" w:ascii="仿宋" w:hAnsi="仿宋" w:eastAsia="仿宋" w:cs="仿宋"/>
                <w:bCs/>
                <w:color w:val="000000"/>
                <w:szCs w:val="21"/>
              </w:rPr>
              <w:t>教务处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3" w:type="dxa"/>
            <w:vMerge w:val="continue"/>
            <w:vAlign w:val="center"/>
          </w:tcPr>
          <w:p>
            <w:pPr>
              <w:jc w:val="center"/>
              <w:rPr>
                <w:rFonts w:ascii="仿宋" w:hAnsi="仿宋" w:eastAsia="仿宋" w:cs="仿宋"/>
                <w:b/>
                <w:szCs w:val="21"/>
              </w:rPr>
            </w:pPr>
          </w:p>
        </w:tc>
        <w:tc>
          <w:tcPr>
            <w:tcW w:w="1788" w:type="dxa"/>
            <w:vAlign w:val="center"/>
          </w:tcPr>
          <w:p>
            <w:pPr>
              <w:spacing w:line="260" w:lineRule="exact"/>
              <w:rPr>
                <w:rFonts w:ascii="仿宋" w:hAnsi="仿宋" w:eastAsia="仿宋" w:cs="仿宋"/>
                <w:bCs/>
                <w:color w:val="000000"/>
                <w:szCs w:val="21"/>
              </w:rPr>
            </w:pPr>
            <w:r>
              <w:rPr>
                <w:rFonts w:hint="eastAsia" w:ascii="仿宋" w:hAnsi="仿宋" w:eastAsia="仿宋" w:cs="仿宋"/>
                <w:bCs/>
                <w:color w:val="000000"/>
                <w:szCs w:val="21"/>
              </w:rPr>
              <w:t>健全对外合作与交流机制</w:t>
            </w:r>
          </w:p>
        </w:tc>
        <w:tc>
          <w:tcPr>
            <w:tcW w:w="3560" w:type="dxa"/>
            <w:vAlign w:val="center"/>
          </w:tcPr>
          <w:p>
            <w:pPr>
              <w:spacing w:line="260" w:lineRule="exact"/>
              <w:rPr>
                <w:rFonts w:ascii="仿宋" w:hAnsi="仿宋" w:eastAsia="仿宋" w:cs="仿宋"/>
                <w:bCs/>
                <w:color w:val="000000"/>
                <w:szCs w:val="21"/>
              </w:rPr>
            </w:pPr>
            <w:r>
              <w:rPr>
                <w:rFonts w:hint="eastAsia" w:ascii="仿宋" w:hAnsi="仿宋" w:eastAsia="仿宋" w:cs="仿宋"/>
                <w:bCs/>
                <w:color w:val="000000"/>
                <w:szCs w:val="21"/>
              </w:rPr>
              <w:t>推动校企合作机制的创新，建立“理事会、校企合作执行委员会、专业建设委员会”三者贯通模式，加强与企业的合作交流，积极开展校内外实训基地建设和学术会议交流。</w:t>
            </w:r>
          </w:p>
        </w:tc>
        <w:tc>
          <w:tcPr>
            <w:tcW w:w="1559" w:type="dxa"/>
            <w:vAlign w:val="center"/>
          </w:tcPr>
          <w:p>
            <w:pPr>
              <w:jc w:val="center"/>
              <w:rPr>
                <w:rFonts w:ascii="仿宋" w:hAnsi="仿宋" w:eastAsia="仿宋" w:cs="仿宋"/>
                <w:bCs/>
                <w:color w:val="000000"/>
                <w:szCs w:val="21"/>
              </w:rPr>
            </w:pPr>
            <w:r>
              <w:rPr>
                <w:rFonts w:hint="eastAsia" w:ascii="仿宋" w:hAnsi="仿宋" w:eastAsia="仿宋" w:cs="仿宋"/>
                <w:bCs/>
                <w:color w:val="000000"/>
                <w:szCs w:val="21"/>
              </w:rPr>
              <w:t>校企合作与学生就业处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3" w:type="dxa"/>
            <w:vMerge w:val="restart"/>
            <w:vAlign w:val="center"/>
          </w:tcPr>
          <w:p>
            <w:pPr>
              <w:jc w:val="center"/>
              <w:rPr>
                <w:rFonts w:ascii="仿宋" w:hAnsi="仿宋" w:eastAsia="仿宋" w:cs="仿宋"/>
                <w:b/>
                <w:szCs w:val="21"/>
              </w:rPr>
            </w:pPr>
            <w:r>
              <w:rPr>
                <w:rFonts w:hint="eastAsia" w:ascii="仿宋" w:hAnsi="仿宋" w:eastAsia="仿宋" w:cs="仿宋"/>
                <w:b/>
                <w:szCs w:val="21"/>
              </w:rPr>
              <w:t>2025</w:t>
            </w:r>
          </w:p>
        </w:tc>
        <w:tc>
          <w:tcPr>
            <w:tcW w:w="1788" w:type="dxa"/>
            <w:vAlign w:val="center"/>
          </w:tcPr>
          <w:p>
            <w:pPr>
              <w:spacing w:line="260" w:lineRule="exact"/>
              <w:rPr>
                <w:rFonts w:ascii="仿宋" w:hAnsi="仿宋" w:eastAsia="仿宋" w:cs="仿宋"/>
                <w:bCs/>
                <w:color w:val="000000"/>
                <w:szCs w:val="21"/>
              </w:rPr>
            </w:pPr>
            <w:r>
              <w:rPr>
                <w:rFonts w:hint="eastAsia" w:ascii="仿宋" w:hAnsi="仿宋" w:eastAsia="仿宋" w:cs="仿宋"/>
                <w:bCs/>
                <w:color w:val="000000"/>
                <w:szCs w:val="21"/>
              </w:rPr>
              <w:t>优化“放管服”制度机制</w:t>
            </w:r>
          </w:p>
        </w:tc>
        <w:tc>
          <w:tcPr>
            <w:tcW w:w="3560" w:type="dxa"/>
            <w:vAlign w:val="center"/>
          </w:tcPr>
          <w:p>
            <w:pPr>
              <w:spacing w:line="260" w:lineRule="exact"/>
              <w:rPr>
                <w:rFonts w:ascii="仿宋" w:hAnsi="仿宋" w:eastAsia="仿宋" w:cs="仿宋"/>
                <w:bCs/>
                <w:color w:val="000000"/>
                <w:szCs w:val="21"/>
              </w:rPr>
            </w:pPr>
            <w:r>
              <w:rPr>
                <w:rFonts w:hint="eastAsia" w:ascii="仿宋" w:hAnsi="仿宋" w:eastAsia="仿宋" w:cs="仿宋"/>
                <w:bCs/>
                <w:color w:val="000000"/>
                <w:szCs w:val="21"/>
              </w:rPr>
              <w:t>持续推进“放管服”改革，深化院、系两级管理制度改革，完善党政部门职责和人员配置，建立学校容错纠错机制，支持改革创新和规范管理。</w:t>
            </w:r>
          </w:p>
        </w:tc>
        <w:tc>
          <w:tcPr>
            <w:tcW w:w="1559" w:type="dxa"/>
            <w:vAlign w:val="center"/>
          </w:tcPr>
          <w:p>
            <w:pPr>
              <w:jc w:val="center"/>
              <w:rPr>
                <w:rFonts w:ascii="仿宋" w:hAnsi="仿宋" w:eastAsia="仿宋" w:cs="仿宋"/>
                <w:bCs/>
                <w:color w:val="000000"/>
                <w:szCs w:val="21"/>
              </w:rPr>
            </w:pPr>
            <w:r>
              <w:rPr>
                <w:rFonts w:hint="eastAsia" w:ascii="仿宋" w:hAnsi="仿宋" w:eastAsia="仿宋" w:cs="仿宋"/>
                <w:bCs/>
                <w:color w:val="000000"/>
                <w:szCs w:val="21"/>
              </w:rPr>
              <w:t>党政办公室、各二级学院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3" w:type="dxa"/>
            <w:vMerge w:val="continue"/>
            <w:vAlign w:val="center"/>
          </w:tcPr>
          <w:p>
            <w:pPr>
              <w:jc w:val="center"/>
              <w:rPr>
                <w:rFonts w:ascii="仿宋" w:hAnsi="仿宋" w:eastAsia="仿宋" w:cs="仿宋"/>
                <w:bCs/>
                <w:szCs w:val="21"/>
              </w:rPr>
            </w:pPr>
          </w:p>
        </w:tc>
        <w:tc>
          <w:tcPr>
            <w:tcW w:w="1788" w:type="dxa"/>
            <w:vAlign w:val="center"/>
          </w:tcPr>
          <w:p>
            <w:pPr>
              <w:jc w:val="center"/>
              <w:rPr>
                <w:rFonts w:ascii="仿宋" w:hAnsi="仿宋" w:eastAsia="仿宋" w:cs="仿宋"/>
                <w:bCs/>
                <w:color w:val="000000"/>
                <w:szCs w:val="21"/>
              </w:rPr>
            </w:pPr>
            <w:r>
              <w:rPr>
                <w:rFonts w:hint="eastAsia" w:ascii="仿宋" w:hAnsi="仿宋" w:eastAsia="仿宋" w:cs="仿宋"/>
                <w:bCs/>
                <w:color w:val="000000"/>
                <w:szCs w:val="21"/>
              </w:rPr>
              <w:t>建立质量保障机制</w:t>
            </w:r>
          </w:p>
        </w:tc>
        <w:tc>
          <w:tcPr>
            <w:tcW w:w="3560" w:type="dxa"/>
            <w:vAlign w:val="center"/>
          </w:tcPr>
          <w:p>
            <w:pPr>
              <w:spacing w:line="260" w:lineRule="exact"/>
              <w:rPr>
                <w:rFonts w:ascii="仿宋" w:hAnsi="仿宋" w:eastAsia="仿宋" w:cs="仿宋"/>
                <w:bCs/>
                <w:color w:val="000000"/>
                <w:szCs w:val="21"/>
              </w:rPr>
            </w:pPr>
            <w:r>
              <w:rPr>
                <w:rFonts w:hint="eastAsia" w:ascii="仿宋" w:hAnsi="仿宋" w:eastAsia="仿宋" w:cs="仿宋"/>
                <w:bCs/>
                <w:color w:val="000000"/>
                <w:szCs w:val="21"/>
              </w:rPr>
              <w:t>加强内部质量保障机制的建设，建立专业群诊断改进机制和人才培养质量诊改数据监测与管理平台，创新监控形式，加强监督制约，确保教学质量的稳步提升和持续改进。</w:t>
            </w:r>
          </w:p>
          <w:p>
            <w:pPr>
              <w:jc w:val="center"/>
              <w:rPr>
                <w:rFonts w:ascii="仿宋" w:hAnsi="仿宋" w:eastAsia="仿宋" w:cs="仿宋"/>
                <w:bCs/>
                <w:color w:val="000000"/>
                <w:szCs w:val="21"/>
              </w:rPr>
            </w:pPr>
          </w:p>
        </w:tc>
        <w:tc>
          <w:tcPr>
            <w:tcW w:w="1559" w:type="dxa"/>
            <w:vAlign w:val="center"/>
          </w:tcPr>
          <w:p>
            <w:pPr>
              <w:jc w:val="center"/>
              <w:rPr>
                <w:rFonts w:ascii="仿宋" w:hAnsi="仿宋" w:eastAsia="仿宋" w:cs="仿宋"/>
                <w:bCs/>
                <w:color w:val="000000"/>
                <w:szCs w:val="21"/>
              </w:rPr>
            </w:pPr>
            <w:r>
              <w:rPr>
                <w:rFonts w:hint="eastAsia" w:ascii="仿宋" w:hAnsi="仿宋" w:eastAsia="仿宋" w:cs="仿宋"/>
                <w:bCs/>
                <w:color w:val="000000"/>
                <w:szCs w:val="21"/>
              </w:rPr>
              <w:t>教务处、教学质量督导室</w:t>
            </w:r>
          </w:p>
        </w:tc>
      </w:tr>
    </w:tbl>
    <w:p>
      <w:pPr>
        <w:keepNext/>
        <w:keepLines/>
        <w:spacing w:line="540" w:lineRule="exact"/>
        <w:ind w:firstLine="562" w:firstLineChars="200"/>
        <w:outlineLvl w:val="3"/>
        <w:rPr>
          <w:rFonts w:ascii="Times New Roman" w:hAnsi="Times New Roman" w:eastAsia="仿宋"/>
          <w:b/>
          <w:sz w:val="28"/>
          <w:szCs w:val="28"/>
        </w:rPr>
      </w:pPr>
      <w:r>
        <w:rPr>
          <w:rFonts w:hint="eastAsia" w:ascii="Times New Roman" w:hAnsi="Times New Roman" w:eastAsia="仿宋"/>
          <w:b/>
          <w:sz w:val="28"/>
          <w:szCs w:val="28"/>
        </w:rPr>
        <w:t>（6）预期成效及资金测算</w:t>
      </w:r>
    </w:p>
    <w:tbl>
      <w:tblPr>
        <w:tblStyle w:val="16"/>
        <w:tblW w:w="0" w:type="auto"/>
        <w:jc w:val="center"/>
        <w:tblLayout w:type="autofit"/>
        <w:tblCellMar>
          <w:top w:w="15" w:type="dxa"/>
          <w:left w:w="15" w:type="dxa"/>
          <w:bottom w:w="15" w:type="dxa"/>
          <w:right w:w="15" w:type="dxa"/>
        </w:tblCellMar>
      </w:tblPr>
      <w:tblGrid>
        <w:gridCol w:w="712"/>
        <w:gridCol w:w="2195"/>
        <w:gridCol w:w="3956"/>
        <w:gridCol w:w="491"/>
        <w:gridCol w:w="491"/>
        <w:gridCol w:w="491"/>
      </w:tblGrid>
      <w:tr>
        <w:tblPrEx>
          <w:tblCellMar>
            <w:top w:w="15" w:type="dxa"/>
            <w:left w:w="15" w:type="dxa"/>
            <w:bottom w:w="15" w:type="dxa"/>
            <w:right w:w="15" w:type="dxa"/>
          </w:tblCellMar>
        </w:tblPrEx>
        <w:trPr>
          <w:trHeight w:val="301" w:hRule="atLeast"/>
          <w:jc w:val="center"/>
        </w:trPr>
        <w:tc>
          <w:tcPr>
            <w:tcW w:w="712" w:type="dxa"/>
            <w:vMerge w:val="restart"/>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topLinePunct/>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项目名称</w:t>
            </w:r>
          </w:p>
        </w:tc>
        <w:tc>
          <w:tcPr>
            <w:tcW w:w="2195" w:type="dxa"/>
            <w:vMerge w:val="restart"/>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topLinePunct/>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主要建设内容</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topLinePunct/>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预期建设成效</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topLinePunct/>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建设资金安排表（万元）</w:t>
            </w:r>
          </w:p>
        </w:tc>
      </w:tr>
      <w:tr>
        <w:tblPrEx>
          <w:tblCellMar>
            <w:top w:w="15" w:type="dxa"/>
            <w:left w:w="15" w:type="dxa"/>
            <w:bottom w:w="15" w:type="dxa"/>
            <w:right w:w="15" w:type="dxa"/>
          </w:tblCellMar>
        </w:tblPrEx>
        <w:trPr>
          <w:trHeight w:val="286" w:hRule="atLeast"/>
          <w:jc w:val="center"/>
        </w:trPr>
        <w:tc>
          <w:tcPr>
            <w:tcW w:w="712" w:type="dxa"/>
            <w:vMerge w:val="continue"/>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topLinePunct/>
              <w:jc w:val="center"/>
              <w:rPr>
                <w:rFonts w:ascii="仿宋" w:hAnsi="仿宋" w:eastAsia="仿宋" w:cs="仿宋"/>
                <w:b/>
                <w:bCs/>
                <w:color w:val="000000"/>
                <w:kern w:val="0"/>
                <w:szCs w:val="21"/>
              </w:rPr>
            </w:pPr>
          </w:p>
        </w:tc>
        <w:tc>
          <w:tcPr>
            <w:tcW w:w="2195" w:type="dxa"/>
            <w:vMerge w:val="continue"/>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topLinePunct/>
              <w:jc w:val="center"/>
              <w:rPr>
                <w:rFonts w:ascii="仿宋" w:hAnsi="仿宋" w:eastAsia="仿宋" w:cs="仿宋"/>
                <w:b/>
                <w:bCs/>
                <w:color w:val="000000"/>
                <w:kern w:val="0"/>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topLinePunct/>
              <w:jc w:val="center"/>
              <w:rPr>
                <w:rFonts w:ascii="仿宋" w:hAnsi="仿宋" w:eastAsia="仿宋" w:cs="仿宋"/>
                <w:b/>
                <w:bCs/>
                <w:color w:val="000000"/>
                <w:kern w:val="0"/>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topLinePunct/>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2023年</w:t>
            </w:r>
          </w:p>
        </w:tc>
        <w:tc>
          <w:tcPr>
            <w:tcW w:w="0" w:type="auto"/>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topLinePunct/>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2024年</w:t>
            </w:r>
          </w:p>
        </w:tc>
        <w:tc>
          <w:tcPr>
            <w:tcW w:w="0" w:type="auto"/>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topLinePunct/>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2025年</w:t>
            </w:r>
          </w:p>
        </w:tc>
      </w:tr>
      <w:tr>
        <w:tblPrEx>
          <w:tblCellMar>
            <w:top w:w="15" w:type="dxa"/>
            <w:left w:w="15" w:type="dxa"/>
            <w:bottom w:w="15" w:type="dxa"/>
            <w:right w:w="15" w:type="dxa"/>
          </w:tblCellMar>
        </w:tblPrEx>
        <w:trPr>
          <w:trHeight w:val="450" w:hRule="atLeast"/>
          <w:jc w:val="center"/>
        </w:trPr>
        <w:tc>
          <w:tcPr>
            <w:tcW w:w="712"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Cs w:val="21"/>
              </w:rPr>
            </w:pPr>
            <w:r>
              <w:rPr>
                <w:rFonts w:hint="eastAsia" w:ascii="仿宋" w:hAnsi="仿宋" w:eastAsia="仿宋" w:cs="仿宋"/>
                <w:b/>
                <w:bCs/>
                <w:color w:val="000000"/>
                <w:szCs w:val="21"/>
              </w:rPr>
              <w:t>流程再造，体制机制改革项目</w:t>
            </w:r>
          </w:p>
        </w:tc>
        <w:tc>
          <w:tcPr>
            <w:tcW w:w="2195"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仿宋"/>
                <w:color w:val="000000"/>
                <w:szCs w:val="21"/>
              </w:rPr>
            </w:pPr>
            <w:r>
              <w:rPr>
                <w:rFonts w:hint="eastAsia" w:ascii="仿宋" w:hAnsi="仿宋" w:eastAsia="仿宋" w:cs="仿宋"/>
                <w:bCs/>
                <w:color w:val="000000"/>
                <w:szCs w:val="21"/>
              </w:rPr>
              <w:t>完善以章程为统领的学校制度体系；健全学术事务决策与执行机制；健全专业建设和教学改革机制；健全对外合作与交流机制；优化“放管服”制度机制；建立质量保障机制</w:t>
            </w:r>
          </w:p>
        </w:tc>
        <w:tc>
          <w:tcPr>
            <w:tcW w:w="0" w:type="auto"/>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仿宋"/>
                <w:color w:val="000000"/>
                <w:szCs w:val="21"/>
              </w:rPr>
            </w:pPr>
            <w:r>
              <w:rPr>
                <w:rFonts w:hint="eastAsia" w:ascii="仿宋" w:hAnsi="仿宋" w:eastAsia="仿宋" w:cs="仿宋"/>
                <w:bCs/>
                <w:color w:val="000000"/>
                <w:szCs w:val="21"/>
              </w:rPr>
              <w:t>学校制度体系更加完善，以章程为统领的制度体系确立，规章制度科学规范，运行有效，为学校发展提供了强有力的制度保障；专业建设和教学改革机制得到加强，校企合作更加紧密，教学质量和专业水平得到提升；内部质量保障机制发挥作用，教学质量和学校管理水平得到全面提升。提升学校的品牌形象和社会影响力，为培养更多高素质技术人才和服务社会经济发展做出更大贡献。</w:t>
            </w: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bCs/>
                <w:color w:val="000000"/>
                <w:szCs w:val="21"/>
              </w:rPr>
            </w:pPr>
            <w:r>
              <w:rPr>
                <w:rFonts w:hint="eastAsia" w:ascii="仿宋" w:hAnsi="仿宋" w:eastAsia="仿宋" w:cs="仿宋"/>
                <w:bCs/>
                <w:color w:val="000000"/>
                <w:szCs w:val="21"/>
              </w:rPr>
              <w:t>2</w:t>
            </w: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bCs/>
                <w:color w:val="000000"/>
                <w:szCs w:val="21"/>
              </w:rPr>
            </w:pPr>
            <w:r>
              <w:rPr>
                <w:rFonts w:hint="eastAsia" w:ascii="仿宋" w:hAnsi="仿宋" w:eastAsia="仿宋" w:cs="仿宋"/>
                <w:bCs/>
                <w:color w:val="000000"/>
                <w:szCs w:val="21"/>
              </w:rPr>
              <w:t>3</w:t>
            </w: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bCs/>
                <w:color w:val="000000"/>
                <w:szCs w:val="21"/>
              </w:rPr>
            </w:pPr>
            <w:r>
              <w:rPr>
                <w:rFonts w:hint="eastAsia" w:ascii="仿宋" w:hAnsi="仿宋" w:eastAsia="仿宋" w:cs="仿宋"/>
                <w:bCs/>
                <w:color w:val="000000"/>
                <w:szCs w:val="21"/>
              </w:rPr>
              <w:t>2</w:t>
            </w:r>
          </w:p>
        </w:tc>
      </w:tr>
    </w:tbl>
    <w:p>
      <w:pPr>
        <w:keepNext/>
        <w:keepLines/>
        <w:spacing w:line="540" w:lineRule="exact"/>
        <w:ind w:firstLine="643" w:firstLineChars="200"/>
        <w:outlineLvl w:val="2"/>
        <w:rPr>
          <w:rFonts w:ascii="Times New Roman" w:hAnsi="Times New Roman" w:eastAsia="仿宋" w:cs="Times New Roman"/>
          <w:b/>
          <w:sz w:val="32"/>
        </w:rPr>
      </w:pPr>
      <w:bookmarkStart w:id="29" w:name="_Toc17302"/>
      <w:bookmarkStart w:id="30" w:name="_Toc164347831"/>
      <w:r>
        <w:rPr>
          <w:rFonts w:hint="eastAsia" w:ascii="Times New Roman" w:hAnsi="Times New Roman" w:eastAsia="仿宋" w:cs="Times New Roman"/>
          <w:b/>
          <w:sz w:val="32"/>
        </w:rPr>
        <w:t>6.内部质量保证体系建设项目</w:t>
      </w:r>
      <w:bookmarkEnd w:id="29"/>
      <w:bookmarkEnd w:id="30"/>
    </w:p>
    <w:p>
      <w:pPr>
        <w:keepNext/>
        <w:keepLines/>
        <w:spacing w:line="540" w:lineRule="exact"/>
        <w:ind w:firstLine="562" w:firstLineChars="200"/>
        <w:outlineLvl w:val="3"/>
        <w:rPr>
          <w:rFonts w:ascii="Times New Roman" w:hAnsi="Times New Roman" w:eastAsia="仿宋"/>
          <w:b/>
          <w:sz w:val="28"/>
          <w:szCs w:val="28"/>
        </w:rPr>
      </w:pPr>
      <w:r>
        <w:rPr>
          <w:rFonts w:hint="eastAsia" w:ascii="Times New Roman" w:hAnsi="Times New Roman" w:eastAsia="仿宋"/>
          <w:b/>
          <w:sz w:val="28"/>
          <w:szCs w:val="28"/>
        </w:rPr>
        <w:t>（1）必要性和可行性</w:t>
      </w:r>
    </w:p>
    <w:p>
      <w:pPr>
        <w:spacing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为推进和落实职业院校教学工作诊断与改进制度，全国诊改专委会提出了简称为“55821”的职业院校内部质量保证体系基本架构，要求在学校、专业、课程、教师、学生五个层面建立8字形质量改进螺旋。建立内部质量保证体系是职业院校在管办评分离背景下实施的一项改革探索，对于学校全面开展教学诊断与改进工作，切实发挥学校的教育质量保证主体作用，不断完善内部质量保证制度体系和运行机制，提升教育教学管理信息化水平，促进全员全过程全方位育人，全面推动学校高质量发展具有重要意义。</w:t>
      </w:r>
    </w:p>
    <w:p>
      <w:pPr>
        <w:widowControl/>
        <w:spacing w:line="540" w:lineRule="exact"/>
        <w:ind w:firstLine="560" w:firstLineChars="200"/>
        <w:jc w:val="left"/>
        <w:rPr>
          <w:sz w:val="28"/>
          <w:szCs w:val="28"/>
        </w:rPr>
      </w:pPr>
      <w:r>
        <w:rPr>
          <w:rFonts w:hint="eastAsia" w:ascii="仿宋" w:hAnsi="仿宋" w:eastAsia="仿宋" w:cs="仿宋"/>
          <w:bCs/>
          <w:sz w:val="28"/>
          <w:szCs w:val="28"/>
        </w:rPr>
        <w:t>学校高度重视内部质量保证体系建设，根据教育部和广东省教育 厅关于高职院校内部质量保证体系诊断与改进工作相关文件精神和要求，制定了《惠州工程职业学院内部质量保证体系建设与运行实施方案》。按照“需求导向、自我保证、多元诊断、重在改进”的原则，按照“五纵五横一平台”体系架构，从学校、专业、课程、教师、学生五个层面，对诊改目标、标准、制度、资源、监控、数据等方面进行全面的建设和持续的完善，形成上下连通、左右协调的“五横五纵一平台”质量保证体系框架，为有序推进内部质量保证体系建设奠定了基础。</w:t>
      </w:r>
    </w:p>
    <w:p>
      <w:pPr>
        <w:keepNext/>
        <w:keepLines/>
        <w:spacing w:line="540" w:lineRule="exact"/>
        <w:ind w:firstLine="562" w:firstLineChars="200"/>
        <w:outlineLvl w:val="3"/>
        <w:rPr>
          <w:rFonts w:ascii="Times New Roman" w:hAnsi="Times New Roman" w:eastAsia="仿宋"/>
          <w:b/>
          <w:sz w:val="28"/>
          <w:szCs w:val="28"/>
        </w:rPr>
      </w:pPr>
      <w:r>
        <w:rPr>
          <w:rFonts w:hint="eastAsia" w:ascii="Times New Roman" w:hAnsi="Times New Roman" w:eastAsia="仿宋"/>
          <w:b/>
          <w:sz w:val="28"/>
          <w:szCs w:val="28"/>
        </w:rPr>
        <w:t>（2）建设目标</w:t>
      </w:r>
    </w:p>
    <w:p>
      <w:pPr>
        <w:adjustRightInd w:val="0"/>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贯彻落实《教育部办公厅关于建立职业院校教学工作诊断与改进制度的通知</w:t>
      </w:r>
      <w:r>
        <w:rPr>
          <w:rFonts w:hint="eastAsia" w:ascii="仿宋" w:hAnsi="仿宋" w:eastAsia="仿宋" w:cs="仿宋"/>
          <w:sz w:val="28"/>
          <w:szCs w:val="28"/>
          <w:lang w:eastAsia="zh-CN"/>
        </w:rPr>
        <w:t>》《</w:t>
      </w:r>
      <w:r>
        <w:rPr>
          <w:rFonts w:hint="eastAsia" w:ascii="仿宋" w:hAnsi="仿宋" w:eastAsia="仿宋" w:cs="仿宋"/>
          <w:sz w:val="28"/>
          <w:szCs w:val="28"/>
        </w:rPr>
        <w:t>高等职业院校内部质量保证体系诊断与改进指导方案（试行）</w:t>
      </w:r>
      <w:r>
        <w:rPr>
          <w:rFonts w:hint="eastAsia" w:ascii="仿宋" w:hAnsi="仿宋" w:eastAsia="仿宋" w:cs="仿宋"/>
          <w:sz w:val="28"/>
          <w:szCs w:val="28"/>
          <w:lang w:eastAsia="zh-CN"/>
        </w:rPr>
        <w:t>》《</w:t>
      </w:r>
      <w:r>
        <w:rPr>
          <w:rFonts w:hint="eastAsia" w:ascii="仿宋" w:hAnsi="仿宋" w:eastAsia="仿宋" w:cs="仿宋"/>
          <w:sz w:val="28"/>
          <w:szCs w:val="28"/>
        </w:rPr>
        <w:t>广东省教育厅关于印发〈广东省高等职业院校内部质量保证体系诊断与改进实施方案（试行）〉的通知》文件要求，实施好</w:t>
      </w:r>
      <w:r>
        <w:rPr>
          <w:rFonts w:hint="eastAsia" w:ascii="仿宋" w:hAnsi="仿宋" w:eastAsia="仿宋" w:cs="仿宋"/>
          <w:bCs/>
          <w:sz w:val="28"/>
          <w:szCs w:val="28"/>
        </w:rPr>
        <w:t>《惠州工程职业学院内部质量保证体系建设与运行实施方案》，</w:t>
      </w:r>
      <w:r>
        <w:rPr>
          <w:rFonts w:hint="eastAsia" w:ascii="仿宋" w:hAnsi="仿宋" w:eastAsia="仿宋" w:cs="仿宋"/>
          <w:sz w:val="28"/>
          <w:szCs w:val="28"/>
        </w:rPr>
        <w:t>推动学校实施常态化自主保证人才培养质量机制，引导和促进学院不断完善内部质量保证体系建设，提升内部质量保证工作成效，推进学校深化改革、内涵发展、办出特色，全面提高人才培养质量，主动适应社会经济发展需要。促进学校不断完善内部质量保证体系建设，持续提高人才培养质量。</w:t>
      </w:r>
    </w:p>
    <w:p>
      <w:pPr>
        <w:keepNext/>
        <w:keepLines/>
        <w:spacing w:line="540" w:lineRule="exact"/>
        <w:ind w:firstLine="562" w:firstLineChars="200"/>
        <w:outlineLvl w:val="3"/>
        <w:rPr>
          <w:rFonts w:ascii="Times New Roman" w:hAnsi="Times New Roman" w:eastAsia="仿宋"/>
          <w:b/>
          <w:sz w:val="28"/>
          <w:szCs w:val="28"/>
        </w:rPr>
      </w:pPr>
      <w:r>
        <w:rPr>
          <w:rFonts w:hint="eastAsia" w:ascii="Times New Roman" w:hAnsi="Times New Roman" w:eastAsia="仿宋"/>
          <w:b/>
          <w:sz w:val="28"/>
          <w:szCs w:val="28"/>
        </w:rPr>
        <w:t>（3）拟解决的问题</w:t>
      </w:r>
    </w:p>
    <w:p>
      <w:pPr>
        <w:adjustRightInd w:val="0"/>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建立目标体系，完善标准体系和制度体系，以提高利益相关方对人才培养工作质量的满意度为目标，按照“需求导向、自我保证、 多元诊断、重在改进”的工作方针，切实履行人才培养工作质量保证主体的责任，建立常态化的内部质量保证体系和可持续的诊断与改进工作机制，不断提高人才培养质量。</w:t>
      </w:r>
    </w:p>
    <w:p>
      <w:pPr>
        <w:keepNext/>
        <w:keepLines/>
        <w:spacing w:line="540" w:lineRule="exact"/>
        <w:ind w:firstLine="562" w:firstLineChars="200"/>
        <w:outlineLvl w:val="3"/>
        <w:rPr>
          <w:rFonts w:ascii="Times New Roman" w:hAnsi="Times New Roman" w:eastAsia="仿宋"/>
          <w:b/>
          <w:sz w:val="28"/>
          <w:szCs w:val="28"/>
        </w:rPr>
      </w:pPr>
      <w:r>
        <w:rPr>
          <w:rFonts w:hint="eastAsia" w:ascii="Times New Roman" w:hAnsi="Times New Roman" w:eastAsia="仿宋"/>
          <w:b/>
          <w:sz w:val="28"/>
          <w:szCs w:val="28"/>
        </w:rPr>
        <w:t>（4）重点建设任务</w:t>
      </w:r>
    </w:p>
    <w:p>
      <w:pPr>
        <w:adjustRightInd w:val="0"/>
        <w:spacing w:line="540" w:lineRule="exact"/>
        <w:ind w:firstLine="602" w:firstLineChars="200"/>
        <w:rPr>
          <w:rFonts w:ascii="仿宋" w:hAnsi="仿宋" w:eastAsia="仿宋" w:cs="仿宋"/>
          <w:sz w:val="28"/>
          <w:szCs w:val="28"/>
        </w:rPr>
      </w:pPr>
      <w:r>
        <w:rPr>
          <w:rFonts w:hint="eastAsia" w:ascii="仿宋" w:hAnsi="仿宋" w:eastAsia="仿宋" w:cs="仿宋"/>
          <w:b/>
          <w:sz w:val="30"/>
          <w:szCs w:val="30"/>
        </w:rPr>
        <w:t xml:space="preserve">① </w:t>
      </w:r>
      <w:r>
        <w:rPr>
          <w:rFonts w:hint="eastAsia" w:ascii="仿宋" w:hAnsi="仿宋" w:eastAsia="仿宋" w:cs="仿宋"/>
          <w:b/>
          <w:sz w:val="28"/>
          <w:szCs w:val="28"/>
        </w:rPr>
        <w:t>坚持“需求导向、自我保证，多元诊断、重在改进”工作方 针，建立“自定目标、自立标准、自主实施、自我诊断与改进 ”的自主循环质量提升保证体系和可持续诊断与改进工作机制。</w:t>
      </w:r>
    </w:p>
    <w:p>
      <w:pPr>
        <w:adjustRightInd w:val="0"/>
        <w:spacing w:line="540" w:lineRule="exact"/>
        <w:ind w:firstLine="600" w:firstLineChars="200"/>
        <w:rPr>
          <w:rFonts w:ascii="仿宋" w:hAnsi="仿宋" w:eastAsia="仿宋" w:cs="仿宋"/>
          <w:bCs/>
          <w:sz w:val="28"/>
          <w:szCs w:val="28"/>
        </w:rPr>
      </w:pPr>
      <w:r>
        <w:rPr>
          <w:rFonts w:hint="eastAsia" w:ascii="仿宋" w:hAnsi="仿宋" w:eastAsia="仿宋" w:cs="仿宋"/>
          <w:bCs/>
          <w:sz w:val="30"/>
          <w:szCs w:val="30"/>
        </w:rPr>
        <w:t>完善职责明确的组织管理体系。</w:t>
      </w:r>
      <w:r>
        <w:rPr>
          <w:rFonts w:hint="eastAsia" w:ascii="仿宋" w:hAnsi="仿宋" w:eastAsia="仿宋" w:cs="仿宋"/>
          <w:bCs/>
          <w:sz w:val="28"/>
          <w:szCs w:val="28"/>
        </w:rPr>
        <w:t>为保证诊改工作有序、高效推进，学校成立惠州工程职业学院内部质量保证体系诊断与改进工作领导小组，由党委书记、校长担任主任，相关校领导担任副主任，党政办公室、发展规划处、人事处、教务处、学生处、信息技术中心、教学质量督导室等相关职能主要负责人担任成员。</w:t>
      </w:r>
    </w:p>
    <w:p>
      <w:pPr>
        <w:adjustRightInd w:val="0"/>
        <w:spacing w:line="540" w:lineRule="exact"/>
        <w:ind w:firstLine="600" w:firstLineChars="200"/>
        <w:rPr>
          <w:rFonts w:ascii="仿宋" w:hAnsi="仿宋" w:eastAsia="仿宋" w:cs="仿宋"/>
          <w:bCs/>
          <w:sz w:val="28"/>
          <w:szCs w:val="28"/>
        </w:rPr>
      </w:pPr>
      <w:r>
        <w:rPr>
          <w:rFonts w:hint="eastAsia" w:ascii="仿宋" w:hAnsi="仿宋" w:eastAsia="仿宋" w:cs="仿宋"/>
          <w:bCs/>
          <w:sz w:val="30"/>
          <w:szCs w:val="30"/>
        </w:rPr>
        <w:t>构建科学内部质量保证体系。</w:t>
      </w:r>
      <w:r>
        <w:rPr>
          <w:rFonts w:hint="eastAsia" w:ascii="仿宋" w:hAnsi="仿宋" w:eastAsia="仿宋" w:cs="仿宋"/>
          <w:bCs/>
          <w:sz w:val="28"/>
          <w:szCs w:val="28"/>
        </w:rPr>
        <w:t>建立党委领导，校长指挥，学校内部质量保证体系建设领导小组全面协调的质量保证组织体系，统领决策指挥、资源建设、支持服务、质量生成、监督控制五个纵向系统，</w:t>
      </w:r>
      <w:r>
        <w:rPr>
          <w:rFonts w:hint="eastAsia" w:ascii="仿宋" w:hAnsi="仿宋" w:eastAsia="仿宋" w:cs="仿宋"/>
          <w:bCs/>
          <w:sz w:val="28"/>
          <w:szCs w:val="28"/>
          <w:lang w:eastAsia="zh-CN"/>
        </w:rPr>
        <w:t>连接</w:t>
      </w:r>
      <w:r>
        <w:rPr>
          <w:rFonts w:hint="eastAsia" w:ascii="仿宋" w:hAnsi="仿宋" w:eastAsia="仿宋" w:cs="仿宋"/>
          <w:bCs/>
          <w:sz w:val="28"/>
          <w:szCs w:val="28"/>
        </w:rPr>
        <w:t>学院、专业、课程、教师、学生五个横向层面，进而形成全要素、网络化覆盖联动的体系框架，五纵五横的质保体系建立在信息化平台基础上运行。</w:t>
      </w:r>
    </w:p>
    <w:p>
      <w:pPr>
        <w:adjustRightInd w:val="0"/>
        <w:spacing w:line="540" w:lineRule="exact"/>
        <w:ind w:firstLine="600" w:firstLineChars="200"/>
        <w:rPr>
          <w:rFonts w:ascii="仿宋" w:hAnsi="仿宋" w:eastAsia="仿宋" w:cs="仿宋"/>
          <w:bCs/>
          <w:sz w:val="28"/>
          <w:szCs w:val="28"/>
        </w:rPr>
      </w:pPr>
      <w:r>
        <w:rPr>
          <w:rFonts w:hint="eastAsia" w:ascii="仿宋" w:hAnsi="仿宋" w:eastAsia="仿宋" w:cs="仿宋"/>
          <w:bCs/>
          <w:sz w:val="30"/>
          <w:szCs w:val="30"/>
        </w:rPr>
        <w:t>完善规划，形成目标链。</w:t>
      </w:r>
      <w:r>
        <w:rPr>
          <w:rFonts w:hint="eastAsia" w:ascii="仿宋" w:hAnsi="仿宋" w:eastAsia="仿宋" w:cs="仿宋"/>
          <w:bCs/>
          <w:sz w:val="28"/>
          <w:szCs w:val="28"/>
        </w:rPr>
        <w:t>围绕学校发展规划确定的创建广东省高水平高职院校建设目标，构建完整的目标链。按照学校总规划、专项规划及其子规划，形成上下衔接、左右呼应的目标体系。在此基础上，各专业编制专业建设方案和各课程编制年度建设计划，明确年度建设目标、任务、措施、预期效果，形成学校总体规划、专项子规划与各二级学院（部）规划目标一致的目标链。</w:t>
      </w:r>
    </w:p>
    <w:p>
      <w:pPr>
        <w:adjustRightInd w:val="0"/>
        <w:spacing w:line="540" w:lineRule="exact"/>
        <w:ind w:firstLine="600" w:firstLineChars="200"/>
        <w:rPr>
          <w:rFonts w:ascii="仿宋" w:hAnsi="仿宋" w:eastAsia="仿宋" w:cs="仿宋"/>
          <w:bCs/>
          <w:sz w:val="28"/>
          <w:szCs w:val="28"/>
        </w:rPr>
      </w:pPr>
      <w:r>
        <w:rPr>
          <w:rFonts w:hint="eastAsia" w:ascii="仿宋" w:hAnsi="仿宋" w:eastAsia="仿宋" w:cs="仿宋"/>
          <w:bCs/>
          <w:sz w:val="30"/>
          <w:szCs w:val="30"/>
        </w:rPr>
        <w:t>完善质量标准，形成标准链。</w:t>
      </w:r>
      <w:r>
        <w:rPr>
          <w:rFonts w:hint="eastAsia" w:ascii="仿宋" w:hAnsi="仿宋" w:eastAsia="仿宋" w:cs="仿宋"/>
          <w:bCs/>
          <w:sz w:val="28"/>
          <w:szCs w:val="28"/>
        </w:rPr>
        <w:t>对应规划目标，完善学校、专业、课程、师资、学生等各层面的质量标准，形成规范全校各层面质量的标准链，保证各部门和教职工自觉履行质量保证主体责任。</w:t>
      </w:r>
    </w:p>
    <w:p>
      <w:pPr>
        <w:adjustRightInd w:val="0"/>
        <w:spacing w:line="540" w:lineRule="exact"/>
        <w:ind w:firstLine="600" w:firstLineChars="200"/>
        <w:rPr>
          <w:rFonts w:ascii="仿宋" w:hAnsi="仿宋" w:eastAsia="仿宋" w:cs="仿宋"/>
          <w:bCs/>
          <w:sz w:val="28"/>
          <w:szCs w:val="28"/>
        </w:rPr>
      </w:pPr>
      <w:r>
        <w:rPr>
          <w:rFonts w:hint="eastAsia" w:ascii="仿宋" w:hAnsi="仿宋" w:eastAsia="仿宋" w:cs="仿宋"/>
          <w:bCs/>
          <w:sz w:val="30"/>
          <w:szCs w:val="30"/>
        </w:rPr>
        <w:t>加强制度建设，形成</w:t>
      </w:r>
      <w:r>
        <w:rPr>
          <w:rFonts w:hint="eastAsia" w:ascii="仿宋" w:hAnsi="仿宋" w:eastAsia="仿宋" w:cs="仿宋"/>
          <w:bCs/>
          <w:sz w:val="28"/>
          <w:szCs w:val="28"/>
        </w:rPr>
        <w:t>可持续诊断与改进工作机制。梳理组织机构管控事项，完善学校管理制度并形成内控机制。依据优化的决策指挥、质量生成、资源建设、支持服务、监督控制等纵向五个系统的组织机构职责，厘清各部门管控事项，修改完善相关制度，精心设计部门管控事项工作流程，完善学校制度体系。梳理学校、专业、课程、教师、学生层面的事项，进行流程设计，将设计的程序与制度匹配。建立考核性诊断和质量报告制度，实现质量保证螺旋递进。建立学校、专业、课程、教师、学生5个层面的质量分析与信息发布制度，及时反馈各环节出现的问题，实时推送预警信息，定期发布学校人才培养质量报告和毕业生就业质量报告，保障学校人才培养工作持续改进、培养水平不断提升。</w:t>
      </w:r>
    </w:p>
    <w:p>
      <w:pPr>
        <w:adjustRightInd w:val="0"/>
        <w:spacing w:line="540" w:lineRule="exact"/>
        <w:ind w:firstLine="600" w:firstLineChars="200"/>
        <w:rPr>
          <w:rFonts w:ascii="仿宋" w:hAnsi="仿宋" w:eastAsia="仿宋" w:cs="仿宋"/>
          <w:bCs/>
          <w:sz w:val="28"/>
          <w:szCs w:val="28"/>
        </w:rPr>
      </w:pPr>
      <w:r>
        <w:rPr>
          <w:rFonts w:hint="eastAsia" w:ascii="仿宋" w:hAnsi="仿宋" w:eastAsia="仿宋" w:cs="仿宋"/>
          <w:bCs/>
          <w:sz w:val="30"/>
          <w:szCs w:val="30"/>
        </w:rPr>
        <w:t>建立信息化管理平台，保障质量保证体系运行。</w:t>
      </w:r>
      <w:r>
        <w:rPr>
          <w:rFonts w:hint="eastAsia" w:ascii="仿宋" w:hAnsi="仿宋" w:eastAsia="仿宋" w:cs="仿宋"/>
          <w:bCs/>
          <w:sz w:val="28"/>
          <w:szCs w:val="28"/>
        </w:rPr>
        <w:t>加强学校信息化建设顶层设计，按照一体化思路，打破传统的单个业务系统数据壁垒，打通相关业务系统数据通道，对现有信息管理系统进行集成，实现数据共享，建成学校人才培养数据中心。建设与智能化校园网络资源共享有关的“学校、专业、课程、教师、学生”等方面全要素网络化的，具有诊断和预警功能的质量管理信息化平台。实现数据源头及时采集，实时掌握和分析人才培养工作状况和核心数据，通过数据分析判断发展变化趋势、寻找影响因素，及时为学校诊断与改进工作提供可靠数据统计信息。</w:t>
      </w:r>
    </w:p>
    <w:p>
      <w:pPr>
        <w:adjustRightInd w:val="0"/>
        <w:spacing w:line="540" w:lineRule="exact"/>
        <w:ind w:firstLine="602" w:firstLineChars="200"/>
        <w:rPr>
          <w:rFonts w:ascii="仿宋" w:hAnsi="仿宋" w:eastAsia="仿宋" w:cs="仿宋"/>
          <w:b/>
          <w:sz w:val="28"/>
          <w:szCs w:val="28"/>
        </w:rPr>
      </w:pPr>
      <w:r>
        <w:rPr>
          <w:rFonts w:hint="eastAsia" w:ascii="仿宋" w:hAnsi="仿宋" w:eastAsia="仿宋" w:cs="仿宋"/>
          <w:b/>
          <w:sz w:val="30"/>
          <w:szCs w:val="30"/>
        </w:rPr>
        <w:t>② 全面实施</w:t>
      </w:r>
      <w:r>
        <w:rPr>
          <w:rFonts w:hint="eastAsia" w:ascii="仿宋" w:hAnsi="仿宋" w:eastAsia="仿宋" w:cs="仿宋"/>
          <w:b/>
          <w:sz w:val="28"/>
          <w:szCs w:val="28"/>
        </w:rPr>
        <w:t xml:space="preserve">学校、专业、课程、教师、学生等层面质量标准，做到各质量主体责任明晰 </w:t>
      </w:r>
    </w:p>
    <w:p>
      <w:pPr>
        <w:adjustRightInd w:val="0"/>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对应规划目标，完善学校、专业、课程、师资、学生等各层面的质量标准，形成规范全校各层面质量的标准链，保证各部门和教职工自觉履行质量保证主体责任。</w:t>
      </w:r>
    </w:p>
    <w:p>
      <w:pPr>
        <w:adjustRightInd w:val="0"/>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实施学校层面质量标准。根据学校发展目标和人才培养质量目标，进一步优化岗位设置，明确各部门在五纵五横系统中的归属，按照岗位、职责、工作标准的开发流程，厘清各部门工作职责，建立岗位工作标准。在办学经费、实训条件、师资队伍、智能校园建设、社会服务能力、国际合作、招生与就业、后勤保障等方面完善工作职责和工作标准。根据学校“十四五发展规划”和年度学校党政部门工作目标，将任务层层分解，落实责任单位，各部门制定年度工作计划任务落实表。建立目标任务考核标准，完善激励机制，将年度目标任务完成情况与全员绩效考核挂钩，保证年度建设目标任务的完成。</w:t>
      </w:r>
    </w:p>
    <w:p>
      <w:pPr>
        <w:adjustRightInd w:val="0"/>
        <w:spacing w:line="540" w:lineRule="exact"/>
        <w:ind w:firstLine="560" w:firstLineChars="200"/>
        <w:rPr>
          <w:rFonts w:ascii="仿宋" w:hAnsi="仿宋" w:eastAsia="仿宋" w:cs="仿宋"/>
          <w:szCs w:val="21"/>
        </w:rPr>
      </w:pPr>
      <w:r>
        <w:rPr>
          <w:rFonts w:hint="eastAsia" w:ascii="仿宋" w:hAnsi="仿宋" w:eastAsia="仿宋" w:cs="仿宋"/>
          <w:sz w:val="28"/>
          <w:szCs w:val="28"/>
        </w:rPr>
        <w:t>实施建设专业建设标准。按照专业建设目标，建立学校层面基本标准和专业层面发展标准，学校基本标准包括专业设置标准、专业建设标准、专业教学运行标准，专业建设团队依据学校专业建设标准和自身实际，制定自身发展标准。具体内容见专业建设标准一览表。</w:t>
      </w:r>
    </w:p>
    <w:p>
      <w:pPr>
        <w:adjustRightInd w:val="0"/>
        <w:spacing w:line="540" w:lineRule="exact"/>
        <w:jc w:val="center"/>
        <w:rPr>
          <w:rFonts w:ascii="仿宋" w:hAnsi="仿宋" w:eastAsia="仿宋" w:cs="仿宋"/>
          <w:szCs w:val="21"/>
        </w:rPr>
      </w:pPr>
      <w:r>
        <w:rPr>
          <w:rFonts w:hint="eastAsia" w:ascii="仿宋" w:hAnsi="仿宋" w:eastAsia="仿宋" w:cs="仿宋"/>
          <w:sz w:val="28"/>
          <w:szCs w:val="28"/>
        </w:rPr>
        <w:t>专业建设标准一览表</w:t>
      </w:r>
    </w:p>
    <w:tbl>
      <w:tblPr>
        <w:tblStyle w:val="16"/>
        <w:tblW w:w="8558"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441"/>
        <w:gridCol w:w="2530"/>
        <w:gridCol w:w="358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9" w:hRule="atLeast"/>
        </w:trPr>
        <w:tc>
          <w:tcPr>
            <w:tcW w:w="2441" w:type="dxa"/>
            <w:tcBorders>
              <w:tl2br w:val="nil"/>
              <w:tr2bl w:val="nil"/>
            </w:tcBorders>
            <w:shd w:val="clear" w:color="auto" w:fill="4874CB" w:themeFill="accent1"/>
            <w:tcMar>
              <w:top w:w="0" w:type="dxa"/>
              <w:left w:w="0" w:type="dxa"/>
              <w:bottom w:w="0" w:type="dxa"/>
              <w:right w:w="0" w:type="dxa"/>
            </w:tcMar>
            <w:vAlign w:val="center"/>
          </w:tcPr>
          <w:p>
            <w:pPr>
              <w:widowControl/>
              <w:topLinePunct/>
              <w:spacing w:line="560" w:lineRule="exact"/>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标准类别</w:t>
            </w:r>
          </w:p>
        </w:tc>
        <w:tc>
          <w:tcPr>
            <w:tcW w:w="2530" w:type="dxa"/>
            <w:tcBorders>
              <w:tl2br w:val="nil"/>
              <w:tr2bl w:val="nil"/>
            </w:tcBorders>
            <w:shd w:val="clear" w:color="auto" w:fill="4874CB" w:themeFill="accent1"/>
            <w:tcMar>
              <w:top w:w="0" w:type="dxa"/>
              <w:left w:w="0" w:type="dxa"/>
              <w:bottom w:w="0" w:type="dxa"/>
              <w:right w:w="0" w:type="dxa"/>
            </w:tcMar>
            <w:vAlign w:val="center"/>
          </w:tcPr>
          <w:p>
            <w:pPr>
              <w:widowControl/>
              <w:topLinePunct/>
              <w:spacing w:line="560" w:lineRule="exact"/>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标准名称</w:t>
            </w:r>
          </w:p>
        </w:tc>
        <w:tc>
          <w:tcPr>
            <w:tcW w:w="3587" w:type="dxa"/>
            <w:tcBorders>
              <w:tl2br w:val="nil"/>
              <w:tr2bl w:val="nil"/>
            </w:tcBorders>
            <w:shd w:val="clear" w:color="auto" w:fill="4874CB" w:themeFill="accent1"/>
            <w:tcMar>
              <w:top w:w="0" w:type="dxa"/>
              <w:left w:w="0" w:type="dxa"/>
              <w:bottom w:w="0" w:type="dxa"/>
              <w:right w:w="0" w:type="dxa"/>
            </w:tcMar>
            <w:vAlign w:val="center"/>
          </w:tcPr>
          <w:p>
            <w:pPr>
              <w:widowControl/>
              <w:topLinePunct/>
              <w:spacing w:line="560" w:lineRule="exact"/>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标准内容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9" w:hRule="atLeast"/>
        </w:trPr>
        <w:tc>
          <w:tcPr>
            <w:tcW w:w="2441" w:type="dxa"/>
            <w:vMerge w:val="restart"/>
            <w:tcBorders>
              <w:tl2br w:val="nil"/>
              <w:tr2bl w:val="nil"/>
            </w:tcBorders>
            <w:tcMar>
              <w:top w:w="0" w:type="dxa"/>
              <w:left w:w="0" w:type="dxa"/>
              <w:bottom w:w="0" w:type="dxa"/>
              <w:right w:w="0" w:type="dxa"/>
            </w:tcMar>
            <w:vAlign w:val="center"/>
          </w:tcPr>
          <w:p>
            <w:pPr>
              <w:jc w:val="center"/>
              <w:rPr>
                <w:rFonts w:ascii="仿宋" w:hAnsi="仿宋" w:eastAsia="仿宋" w:cs="仿宋"/>
                <w:lang w:val="zh-CN" w:bidi="zh-CN"/>
              </w:rPr>
            </w:pPr>
            <w:r>
              <w:rPr>
                <w:rFonts w:hint="eastAsia" w:ascii="仿宋" w:hAnsi="仿宋" w:eastAsia="仿宋" w:cs="仿宋"/>
                <w:lang w:val="zh-CN" w:bidi="zh-CN"/>
              </w:rPr>
              <w:t>专业（群）基本标准</w:t>
            </w:r>
          </w:p>
        </w:tc>
        <w:tc>
          <w:tcPr>
            <w:tcW w:w="2530" w:type="dxa"/>
            <w:vMerge w:val="restart"/>
            <w:tcBorders>
              <w:tl2br w:val="nil"/>
              <w:tr2bl w:val="nil"/>
            </w:tcBorders>
            <w:tcMar>
              <w:top w:w="0" w:type="dxa"/>
              <w:left w:w="0" w:type="dxa"/>
              <w:bottom w:w="0" w:type="dxa"/>
              <w:right w:w="0" w:type="dxa"/>
            </w:tcMar>
            <w:vAlign w:val="center"/>
          </w:tcPr>
          <w:p>
            <w:pPr>
              <w:jc w:val="center"/>
              <w:rPr>
                <w:rFonts w:ascii="仿宋" w:hAnsi="仿宋" w:eastAsia="仿宋" w:cs="仿宋"/>
                <w:lang w:val="zh-CN" w:bidi="zh-CN"/>
              </w:rPr>
            </w:pPr>
            <w:r>
              <w:rPr>
                <w:rFonts w:hint="eastAsia" w:ascii="仿宋" w:hAnsi="仿宋" w:eastAsia="仿宋" w:cs="仿宋"/>
                <w:lang w:val="zh-CN" w:bidi="zh-CN"/>
              </w:rPr>
              <w:t>专业（群）设置标准</w:t>
            </w:r>
          </w:p>
        </w:tc>
        <w:tc>
          <w:tcPr>
            <w:tcW w:w="3587" w:type="dxa"/>
            <w:tcBorders>
              <w:tl2br w:val="nil"/>
              <w:tr2bl w:val="nil"/>
            </w:tcBorders>
            <w:tcMar>
              <w:top w:w="0" w:type="dxa"/>
              <w:left w:w="0" w:type="dxa"/>
              <w:bottom w:w="0" w:type="dxa"/>
              <w:right w:w="0" w:type="dxa"/>
            </w:tcMar>
            <w:vAlign w:val="center"/>
          </w:tcPr>
          <w:p>
            <w:pPr>
              <w:jc w:val="center"/>
              <w:rPr>
                <w:rFonts w:ascii="仿宋" w:hAnsi="仿宋" w:eastAsia="仿宋" w:cs="仿宋"/>
                <w:lang w:val="zh-CN" w:bidi="zh-CN"/>
              </w:rPr>
            </w:pPr>
            <w:r>
              <w:rPr>
                <w:rFonts w:hint="eastAsia" w:ascii="仿宋" w:hAnsi="仿宋" w:eastAsia="仿宋" w:cs="仿宋"/>
                <w:lang w:val="zh-CN" w:bidi="zh-CN"/>
              </w:rPr>
              <w:t>专业（群）设置及动态调整标准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9" w:hRule="atLeast"/>
        </w:trPr>
        <w:tc>
          <w:tcPr>
            <w:tcW w:w="2441" w:type="dxa"/>
            <w:vMerge w:val="continue"/>
            <w:tcBorders>
              <w:tl2br w:val="nil"/>
              <w:tr2bl w:val="nil"/>
            </w:tcBorders>
            <w:tcMar>
              <w:top w:w="0" w:type="dxa"/>
              <w:left w:w="0" w:type="dxa"/>
              <w:bottom w:w="0" w:type="dxa"/>
              <w:right w:w="0" w:type="dxa"/>
            </w:tcMar>
            <w:vAlign w:val="center"/>
          </w:tcPr>
          <w:p>
            <w:pPr>
              <w:jc w:val="center"/>
              <w:rPr>
                <w:rFonts w:ascii="仿宋" w:hAnsi="仿宋" w:eastAsia="仿宋" w:cs="仿宋"/>
              </w:rPr>
            </w:pPr>
          </w:p>
        </w:tc>
        <w:tc>
          <w:tcPr>
            <w:tcW w:w="2530" w:type="dxa"/>
            <w:vMerge w:val="continue"/>
            <w:tcBorders>
              <w:tl2br w:val="nil"/>
              <w:tr2bl w:val="nil"/>
            </w:tcBorders>
            <w:tcMar>
              <w:top w:w="0" w:type="dxa"/>
              <w:left w:w="0" w:type="dxa"/>
              <w:bottom w:w="0" w:type="dxa"/>
              <w:right w:w="0" w:type="dxa"/>
            </w:tcMar>
            <w:vAlign w:val="center"/>
          </w:tcPr>
          <w:p>
            <w:pPr>
              <w:jc w:val="center"/>
              <w:rPr>
                <w:rFonts w:ascii="仿宋" w:hAnsi="仿宋" w:eastAsia="仿宋" w:cs="仿宋"/>
              </w:rPr>
            </w:pPr>
          </w:p>
        </w:tc>
        <w:tc>
          <w:tcPr>
            <w:tcW w:w="3587" w:type="dxa"/>
            <w:tcBorders>
              <w:tl2br w:val="nil"/>
              <w:tr2bl w:val="nil"/>
            </w:tcBorders>
            <w:tcMar>
              <w:top w:w="0" w:type="dxa"/>
              <w:left w:w="0" w:type="dxa"/>
              <w:bottom w:w="0" w:type="dxa"/>
              <w:right w:w="0" w:type="dxa"/>
            </w:tcMar>
            <w:vAlign w:val="center"/>
          </w:tcPr>
          <w:p>
            <w:pPr>
              <w:jc w:val="center"/>
              <w:rPr>
                <w:rFonts w:ascii="仿宋" w:hAnsi="仿宋" w:eastAsia="仿宋" w:cs="仿宋"/>
                <w:lang w:val="zh-CN" w:bidi="zh-CN"/>
              </w:rPr>
            </w:pPr>
            <w:r>
              <w:rPr>
                <w:rFonts w:hint="eastAsia" w:ascii="仿宋" w:hAnsi="仿宋" w:eastAsia="仿宋" w:cs="仿宋"/>
                <w:lang w:val="zh-CN" w:bidi="zh-CN"/>
              </w:rPr>
              <w:t>专业（群）调研要求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2" w:hRule="atLeast"/>
        </w:trPr>
        <w:tc>
          <w:tcPr>
            <w:tcW w:w="2441" w:type="dxa"/>
            <w:vMerge w:val="continue"/>
            <w:tcBorders>
              <w:tl2br w:val="nil"/>
              <w:tr2bl w:val="nil"/>
            </w:tcBorders>
            <w:tcMar>
              <w:top w:w="0" w:type="dxa"/>
              <w:left w:w="0" w:type="dxa"/>
              <w:bottom w:w="0" w:type="dxa"/>
              <w:right w:w="0" w:type="dxa"/>
            </w:tcMar>
            <w:vAlign w:val="center"/>
          </w:tcPr>
          <w:p>
            <w:pPr>
              <w:tabs>
                <w:tab w:val="left" w:pos="646"/>
              </w:tabs>
              <w:jc w:val="center"/>
              <w:rPr>
                <w:rFonts w:ascii="仿宋" w:hAnsi="仿宋" w:eastAsia="仿宋" w:cs="仿宋"/>
                <w:lang w:val="zh-CN" w:bidi="zh-CN"/>
              </w:rPr>
            </w:pPr>
          </w:p>
        </w:tc>
        <w:tc>
          <w:tcPr>
            <w:tcW w:w="2530" w:type="dxa"/>
            <w:vMerge w:val="restart"/>
            <w:tcBorders>
              <w:tl2br w:val="nil"/>
              <w:tr2bl w:val="nil"/>
            </w:tcBorders>
            <w:tcMar>
              <w:top w:w="0" w:type="dxa"/>
              <w:left w:w="0" w:type="dxa"/>
              <w:bottom w:w="0" w:type="dxa"/>
              <w:right w:w="0" w:type="dxa"/>
            </w:tcMar>
            <w:vAlign w:val="center"/>
          </w:tcPr>
          <w:p>
            <w:pPr>
              <w:tabs>
                <w:tab w:val="left" w:pos="646"/>
              </w:tabs>
              <w:jc w:val="center"/>
              <w:rPr>
                <w:rFonts w:ascii="仿宋" w:hAnsi="仿宋" w:eastAsia="仿宋" w:cs="仿宋"/>
                <w:lang w:val="zh-CN" w:bidi="zh-CN"/>
              </w:rPr>
            </w:pPr>
            <w:r>
              <w:rPr>
                <w:rFonts w:hint="eastAsia" w:ascii="仿宋" w:hAnsi="仿宋" w:eastAsia="仿宋" w:cs="仿宋"/>
                <w:lang w:val="zh-CN" w:bidi="zh-CN"/>
              </w:rPr>
              <w:t>专业（群）建设标准</w:t>
            </w:r>
          </w:p>
        </w:tc>
        <w:tc>
          <w:tcPr>
            <w:tcW w:w="3587" w:type="dxa"/>
            <w:tcBorders>
              <w:tl2br w:val="nil"/>
              <w:tr2bl w:val="nil"/>
            </w:tcBorders>
            <w:tcMar>
              <w:top w:w="0" w:type="dxa"/>
              <w:left w:w="0" w:type="dxa"/>
              <w:bottom w:w="0" w:type="dxa"/>
              <w:right w:w="0" w:type="dxa"/>
            </w:tcMar>
            <w:vAlign w:val="center"/>
          </w:tcPr>
          <w:p>
            <w:pPr>
              <w:jc w:val="center"/>
              <w:rPr>
                <w:rFonts w:ascii="仿宋" w:hAnsi="仿宋" w:eastAsia="仿宋" w:cs="仿宋"/>
                <w:lang w:val="zh-CN" w:bidi="zh-CN"/>
              </w:rPr>
            </w:pPr>
            <w:r>
              <w:rPr>
                <w:rFonts w:hint="eastAsia" w:ascii="仿宋" w:hAnsi="仿宋" w:eastAsia="仿宋" w:cs="仿宋"/>
                <w:lang w:val="zh-CN" w:bidi="zh-CN"/>
              </w:rPr>
              <w:t>专业（群）建设标准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9" w:hRule="atLeast"/>
        </w:trPr>
        <w:tc>
          <w:tcPr>
            <w:tcW w:w="2441" w:type="dxa"/>
            <w:vMerge w:val="continue"/>
            <w:tcBorders>
              <w:tl2br w:val="nil"/>
              <w:tr2bl w:val="nil"/>
            </w:tcBorders>
            <w:tcMar>
              <w:top w:w="0" w:type="dxa"/>
              <w:left w:w="0" w:type="dxa"/>
              <w:bottom w:w="0" w:type="dxa"/>
              <w:right w:w="0" w:type="dxa"/>
            </w:tcMar>
            <w:vAlign w:val="center"/>
          </w:tcPr>
          <w:p>
            <w:pPr>
              <w:jc w:val="center"/>
              <w:rPr>
                <w:rFonts w:ascii="仿宋" w:hAnsi="仿宋" w:eastAsia="仿宋" w:cs="仿宋"/>
              </w:rPr>
            </w:pPr>
          </w:p>
        </w:tc>
        <w:tc>
          <w:tcPr>
            <w:tcW w:w="2530" w:type="dxa"/>
            <w:vMerge w:val="continue"/>
            <w:tcBorders>
              <w:tl2br w:val="nil"/>
              <w:tr2bl w:val="nil"/>
            </w:tcBorders>
            <w:tcMar>
              <w:top w:w="0" w:type="dxa"/>
              <w:left w:w="0" w:type="dxa"/>
              <w:bottom w:w="0" w:type="dxa"/>
              <w:right w:w="0" w:type="dxa"/>
            </w:tcMar>
            <w:vAlign w:val="center"/>
          </w:tcPr>
          <w:p>
            <w:pPr>
              <w:jc w:val="center"/>
              <w:rPr>
                <w:rFonts w:ascii="仿宋" w:hAnsi="仿宋" w:eastAsia="仿宋" w:cs="仿宋"/>
              </w:rPr>
            </w:pPr>
          </w:p>
        </w:tc>
        <w:tc>
          <w:tcPr>
            <w:tcW w:w="3587" w:type="dxa"/>
            <w:tcBorders>
              <w:tl2br w:val="nil"/>
              <w:tr2bl w:val="nil"/>
            </w:tcBorders>
            <w:tcMar>
              <w:top w:w="0" w:type="dxa"/>
              <w:left w:w="0" w:type="dxa"/>
              <w:bottom w:w="0" w:type="dxa"/>
              <w:right w:w="0" w:type="dxa"/>
            </w:tcMar>
            <w:vAlign w:val="center"/>
          </w:tcPr>
          <w:p>
            <w:pPr>
              <w:jc w:val="center"/>
              <w:rPr>
                <w:rFonts w:ascii="仿宋" w:hAnsi="仿宋" w:eastAsia="仿宋" w:cs="仿宋"/>
                <w:lang w:val="zh-CN" w:bidi="zh-CN"/>
              </w:rPr>
            </w:pPr>
            <w:r>
              <w:rPr>
                <w:rFonts w:hint="eastAsia" w:ascii="仿宋" w:hAnsi="仿宋" w:eastAsia="仿宋" w:cs="仿宋"/>
                <w:lang w:val="zh-CN" w:bidi="zh-CN"/>
              </w:rPr>
              <w:t>人才培养方案制定原则意见</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9" w:hRule="atLeast"/>
        </w:trPr>
        <w:tc>
          <w:tcPr>
            <w:tcW w:w="2441" w:type="dxa"/>
            <w:vMerge w:val="continue"/>
            <w:tcBorders>
              <w:tl2br w:val="nil"/>
              <w:tr2bl w:val="nil"/>
            </w:tcBorders>
            <w:tcMar>
              <w:top w:w="0" w:type="dxa"/>
              <w:left w:w="0" w:type="dxa"/>
              <w:bottom w:w="0" w:type="dxa"/>
              <w:right w:w="0" w:type="dxa"/>
            </w:tcMar>
            <w:vAlign w:val="center"/>
          </w:tcPr>
          <w:p>
            <w:pPr>
              <w:jc w:val="center"/>
              <w:rPr>
                <w:rFonts w:ascii="仿宋" w:hAnsi="仿宋" w:eastAsia="仿宋" w:cs="仿宋"/>
              </w:rPr>
            </w:pPr>
          </w:p>
        </w:tc>
        <w:tc>
          <w:tcPr>
            <w:tcW w:w="2530" w:type="dxa"/>
            <w:vMerge w:val="continue"/>
            <w:tcBorders>
              <w:tl2br w:val="nil"/>
              <w:tr2bl w:val="nil"/>
            </w:tcBorders>
            <w:tcMar>
              <w:top w:w="0" w:type="dxa"/>
              <w:left w:w="0" w:type="dxa"/>
              <w:bottom w:w="0" w:type="dxa"/>
              <w:right w:w="0" w:type="dxa"/>
            </w:tcMar>
            <w:vAlign w:val="center"/>
          </w:tcPr>
          <w:p>
            <w:pPr>
              <w:jc w:val="center"/>
              <w:rPr>
                <w:rFonts w:ascii="仿宋" w:hAnsi="仿宋" w:eastAsia="仿宋" w:cs="仿宋"/>
              </w:rPr>
            </w:pPr>
          </w:p>
        </w:tc>
        <w:tc>
          <w:tcPr>
            <w:tcW w:w="3587" w:type="dxa"/>
            <w:tcBorders>
              <w:tl2br w:val="nil"/>
              <w:tr2bl w:val="nil"/>
            </w:tcBorders>
            <w:tcMar>
              <w:top w:w="0" w:type="dxa"/>
              <w:left w:w="0" w:type="dxa"/>
              <w:bottom w:w="0" w:type="dxa"/>
              <w:right w:w="0" w:type="dxa"/>
            </w:tcMar>
            <w:vAlign w:val="center"/>
          </w:tcPr>
          <w:p>
            <w:pPr>
              <w:jc w:val="center"/>
              <w:rPr>
                <w:rFonts w:ascii="仿宋" w:hAnsi="仿宋" w:eastAsia="仿宋" w:cs="仿宋"/>
                <w:lang w:val="zh-CN" w:bidi="zh-CN"/>
              </w:rPr>
            </w:pPr>
            <w:r>
              <w:rPr>
                <w:rFonts w:hint="eastAsia" w:ascii="仿宋" w:hAnsi="仿宋" w:eastAsia="仿宋" w:cs="仿宋"/>
                <w:lang w:val="zh-CN" w:bidi="zh-CN"/>
              </w:rPr>
              <w:t>专业（群）教学标准制定规范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9" w:hRule="atLeast"/>
        </w:trPr>
        <w:tc>
          <w:tcPr>
            <w:tcW w:w="2441" w:type="dxa"/>
            <w:vMerge w:val="continue"/>
            <w:tcBorders>
              <w:tl2br w:val="nil"/>
              <w:tr2bl w:val="nil"/>
            </w:tcBorders>
            <w:tcMar>
              <w:top w:w="0" w:type="dxa"/>
              <w:left w:w="0" w:type="dxa"/>
              <w:bottom w:w="0" w:type="dxa"/>
              <w:right w:w="0" w:type="dxa"/>
            </w:tcMar>
            <w:vAlign w:val="center"/>
          </w:tcPr>
          <w:p>
            <w:pPr>
              <w:jc w:val="center"/>
              <w:rPr>
                <w:rFonts w:ascii="仿宋" w:hAnsi="仿宋" w:eastAsia="仿宋" w:cs="仿宋"/>
              </w:rPr>
            </w:pPr>
          </w:p>
        </w:tc>
        <w:tc>
          <w:tcPr>
            <w:tcW w:w="2530" w:type="dxa"/>
            <w:vMerge w:val="continue"/>
            <w:tcBorders>
              <w:tl2br w:val="nil"/>
              <w:tr2bl w:val="nil"/>
            </w:tcBorders>
            <w:tcMar>
              <w:top w:w="0" w:type="dxa"/>
              <w:left w:w="0" w:type="dxa"/>
              <w:bottom w:w="0" w:type="dxa"/>
              <w:right w:w="0" w:type="dxa"/>
            </w:tcMar>
            <w:vAlign w:val="center"/>
          </w:tcPr>
          <w:p>
            <w:pPr>
              <w:jc w:val="center"/>
              <w:rPr>
                <w:rFonts w:ascii="仿宋" w:hAnsi="仿宋" w:eastAsia="仿宋" w:cs="仿宋"/>
              </w:rPr>
            </w:pPr>
          </w:p>
        </w:tc>
        <w:tc>
          <w:tcPr>
            <w:tcW w:w="3587" w:type="dxa"/>
            <w:tcBorders>
              <w:tl2br w:val="nil"/>
              <w:tr2bl w:val="nil"/>
            </w:tcBorders>
            <w:tcMar>
              <w:top w:w="0" w:type="dxa"/>
              <w:left w:w="0" w:type="dxa"/>
              <w:bottom w:w="0" w:type="dxa"/>
              <w:right w:w="0" w:type="dxa"/>
            </w:tcMar>
            <w:vAlign w:val="center"/>
          </w:tcPr>
          <w:p>
            <w:pPr>
              <w:jc w:val="center"/>
              <w:rPr>
                <w:rFonts w:ascii="仿宋" w:hAnsi="仿宋" w:eastAsia="仿宋" w:cs="仿宋"/>
                <w:lang w:val="zh-CN" w:bidi="zh-CN"/>
              </w:rPr>
            </w:pPr>
            <w:r>
              <w:rPr>
                <w:rFonts w:hint="eastAsia" w:ascii="仿宋" w:hAnsi="仿宋" w:eastAsia="仿宋" w:cs="仿宋"/>
                <w:lang w:val="zh-CN" w:bidi="zh-CN"/>
              </w:rPr>
              <w:t>专业（群）质量诊断标准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9" w:hRule="atLeast"/>
        </w:trPr>
        <w:tc>
          <w:tcPr>
            <w:tcW w:w="2441" w:type="dxa"/>
            <w:vMerge w:val="continue"/>
            <w:tcBorders>
              <w:tl2br w:val="nil"/>
              <w:tr2bl w:val="nil"/>
            </w:tcBorders>
            <w:tcMar>
              <w:top w:w="0" w:type="dxa"/>
              <w:left w:w="0" w:type="dxa"/>
              <w:bottom w:w="0" w:type="dxa"/>
              <w:right w:w="0" w:type="dxa"/>
            </w:tcMar>
            <w:vAlign w:val="center"/>
          </w:tcPr>
          <w:p>
            <w:pPr>
              <w:jc w:val="center"/>
              <w:rPr>
                <w:rFonts w:ascii="仿宋" w:hAnsi="仿宋" w:eastAsia="仿宋" w:cs="仿宋"/>
                <w:lang w:val="zh-CN" w:bidi="zh-CN"/>
              </w:rPr>
            </w:pPr>
          </w:p>
        </w:tc>
        <w:tc>
          <w:tcPr>
            <w:tcW w:w="2530" w:type="dxa"/>
            <w:vMerge w:val="restart"/>
            <w:tcBorders>
              <w:tl2br w:val="nil"/>
              <w:tr2bl w:val="nil"/>
            </w:tcBorders>
            <w:tcMar>
              <w:top w:w="0" w:type="dxa"/>
              <w:left w:w="0" w:type="dxa"/>
              <w:bottom w:w="0" w:type="dxa"/>
              <w:right w:w="0" w:type="dxa"/>
            </w:tcMar>
            <w:vAlign w:val="center"/>
          </w:tcPr>
          <w:p>
            <w:pPr>
              <w:jc w:val="center"/>
              <w:rPr>
                <w:rFonts w:ascii="仿宋" w:hAnsi="仿宋" w:eastAsia="仿宋" w:cs="仿宋"/>
                <w:lang w:val="zh-CN" w:bidi="zh-CN"/>
              </w:rPr>
            </w:pPr>
            <w:r>
              <w:rPr>
                <w:rFonts w:hint="eastAsia" w:ascii="仿宋" w:hAnsi="仿宋" w:eastAsia="仿宋" w:cs="仿宋"/>
                <w:lang w:val="zh-CN" w:bidi="zh-CN"/>
              </w:rPr>
              <w:t>专业（群）教学运行标准</w:t>
            </w:r>
          </w:p>
        </w:tc>
        <w:tc>
          <w:tcPr>
            <w:tcW w:w="3587" w:type="dxa"/>
            <w:tcBorders>
              <w:tl2br w:val="nil"/>
              <w:tr2bl w:val="nil"/>
            </w:tcBorders>
            <w:tcMar>
              <w:top w:w="0" w:type="dxa"/>
              <w:left w:w="0" w:type="dxa"/>
              <w:bottom w:w="0" w:type="dxa"/>
              <w:right w:w="0" w:type="dxa"/>
            </w:tcMar>
            <w:vAlign w:val="center"/>
          </w:tcPr>
          <w:p>
            <w:pPr>
              <w:jc w:val="center"/>
              <w:rPr>
                <w:rFonts w:ascii="仿宋" w:hAnsi="仿宋" w:eastAsia="仿宋" w:cs="仿宋"/>
                <w:lang w:val="zh-CN" w:bidi="zh-CN"/>
              </w:rPr>
            </w:pPr>
            <w:r>
              <w:rPr>
                <w:rFonts w:hint="eastAsia" w:ascii="仿宋" w:hAnsi="仿宋" w:eastAsia="仿宋" w:cs="仿宋"/>
                <w:lang w:val="zh-CN" w:bidi="zh-CN"/>
              </w:rPr>
              <w:t>课堂教学规范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9" w:hRule="atLeast"/>
        </w:trPr>
        <w:tc>
          <w:tcPr>
            <w:tcW w:w="2441" w:type="dxa"/>
            <w:vMerge w:val="continue"/>
            <w:tcBorders>
              <w:tl2br w:val="nil"/>
              <w:tr2bl w:val="nil"/>
            </w:tcBorders>
            <w:tcMar>
              <w:top w:w="0" w:type="dxa"/>
              <w:left w:w="0" w:type="dxa"/>
              <w:bottom w:w="0" w:type="dxa"/>
              <w:right w:w="0" w:type="dxa"/>
            </w:tcMar>
            <w:vAlign w:val="center"/>
          </w:tcPr>
          <w:p>
            <w:pPr>
              <w:jc w:val="center"/>
              <w:rPr>
                <w:rFonts w:ascii="仿宋" w:hAnsi="仿宋" w:eastAsia="仿宋" w:cs="仿宋"/>
              </w:rPr>
            </w:pPr>
          </w:p>
        </w:tc>
        <w:tc>
          <w:tcPr>
            <w:tcW w:w="2530" w:type="dxa"/>
            <w:vMerge w:val="continue"/>
            <w:tcBorders>
              <w:tl2br w:val="nil"/>
              <w:tr2bl w:val="nil"/>
            </w:tcBorders>
            <w:tcMar>
              <w:top w:w="0" w:type="dxa"/>
              <w:left w:w="0" w:type="dxa"/>
              <w:bottom w:w="0" w:type="dxa"/>
              <w:right w:w="0" w:type="dxa"/>
            </w:tcMar>
            <w:vAlign w:val="center"/>
          </w:tcPr>
          <w:p>
            <w:pPr>
              <w:jc w:val="center"/>
              <w:rPr>
                <w:rFonts w:ascii="仿宋" w:hAnsi="仿宋" w:eastAsia="仿宋" w:cs="仿宋"/>
              </w:rPr>
            </w:pPr>
          </w:p>
        </w:tc>
        <w:tc>
          <w:tcPr>
            <w:tcW w:w="3587" w:type="dxa"/>
            <w:tcBorders>
              <w:tl2br w:val="nil"/>
              <w:tr2bl w:val="nil"/>
            </w:tcBorders>
            <w:tcMar>
              <w:top w:w="0" w:type="dxa"/>
              <w:left w:w="0" w:type="dxa"/>
              <w:bottom w:w="0" w:type="dxa"/>
              <w:right w:w="0" w:type="dxa"/>
            </w:tcMar>
            <w:vAlign w:val="center"/>
          </w:tcPr>
          <w:p>
            <w:pPr>
              <w:jc w:val="center"/>
              <w:rPr>
                <w:rFonts w:ascii="仿宋" w:hAnsi="仿宋" w:eastAsia="仿宋" w:cs="仿宋"/>
                <w:lang w:val="zh-CN" w:bidi="zh-CN"/>
              </w:rPr>
            </w:pPr>
            <w:r>
              <w:rPr>
                <w:rFonts w:hint="eastAsia" w:ascii="仿宋" w:hAnsi="仿宋" w:eastAsia="仿宋" w:cs="仿宋"/>
                <w:lang w:val="zh-CN" w:bidi="zh-CN"/>
              </w:rPr>
              <w:t>实践教学规范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2" w:hRule="atLeast"/>
        </w:trPr>
        <w:tc>
          <w:tcPr>
            <w:tcW w:w="2441" w:type="dxa"/>
            <w:vMerge w:val="continue"/>
            <w:tcBorders>
              <w:tl2br w:val="nil"/>
              <w:tr2bl w:val="nil"/>
            </w:tcBorders>
            <w:tcMar>
              <w:top w:w="0" w:type="dxa"/>
              <w:left w:w="0" w:type="dxa"/>
              <w:bottom w:w="0" w:type="dxa"/>
              <w:right w:w="0" w:type="dxa"/>
            </w:tcMar>
            <w:vAlign w:val="center"/>
          </w:tcPr>
          <w:p>
            <w:pPr>
              <w:jc w:val="center"/>
              <w:rPr>
                <w:rFonts w:ascii="仿宋" w:hAnsi="仿宋" w:eastAsia="仿宋" w:cs="仿宋"/>
              </w:rPr>
            </w:pPr>
          </w:p>
        </w:tc>
        <w:tc>
          <w:tcPr>
            <w:tcW w:w="2530" w:type="dxa"/>
            <w:vMerge w:val="continue"/>
            <w:tcBorders>
              <w:tl2br w:val="nil"/>
              <w:tr2bl w:val="nil"/>
            </w:tcBorders>
            <w:tcMar>
              <w:top w:w="0" w:type="dxa"/>
              <w:left w:w="0" w:type="dxa"/>
              <w:bottom w:w="0" w:type="dxa"/>
              <w:right w:w="0" w:type="dxa"/>
            </w:tcMar>
            <w:vAlign w:val="center"/>
          </w:tcPr>
          <w:p>
            <w:pPr>
              <w:jc w:val="center"/>
              <w:rPr>
                <w:rFonts w:ascii="仿宋" w:hAnsi="仿宋" w:eastAsia="仿宋" w:cs="仿宋"/>
              </w:rPr>
            </w:pPr>
          </w:p>
        </w:tc>
        <w:tc>
          <w:tcPr>
            <w:tcW w:w="3587" w:type="dxa"/>
            <w:tcBorders>
              <w:tl2br w:val="nil"/>
              <w:tr2bl w:val="nil"/>
            </w:tcBorders>
            <w:tcMar>
              <w:top w:w="0" w:type="dxa"/>
              <w:left w:w="0" w:type="dxa"/>
              <w:bottom w:w="0" w:type="dxa"/>
              <w:right w:w="0" w:type="dxa"/>
            </w:tcMar>
            <w:vAlign w:val="center"/>
          </w:tcPr>
          <w:p>
            <w:pPr>
              <w:jc w:val="center"/>
              <w:rPr>
                <w:rFonts w:ascii="仿宋" w:hAnsi="仿宋" w:eastAsia="仿宋" w:cs="仿宋"/>
                <w:lang w:val="zh-CN" w:bidi="zh-CN"/>
              </w:rPr>
            </w:pPr>
            <w:r>
              <w:rPr>
                <w:rFonts w:hint="eastAsia" w:ascii="仿宋" w:hAnsi="仿宋" w:eastAsia="仿宋" w:cs="仿宋"/>
                <w:lang w:val="zh-CN" w:bidi="zh-CN"/>
              </w:rPr>
              <w:t>顶岗实习规范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9" w:hRule="atLeast"/>
        </w:trPr>
        <w:tc>
          <w:tcPr>
            <w:tcW w:w="2441" w:type="dxa"/>
            <w:vMerge w:val="continue"/>
            <w:tcBorders>
              <w:tl2br w:val="nil"/>
              <w:tr2bl w:val="nil"/>
            </w:tcBorders>
            <w:tcMar>
              <w:top w:w="0" w:type="dxa"/>
              <w:left w:w="0" w:type="dxa"/>
              <w:bottom w:w="0" w:type="dxa"/>
              <w:right w:w="0" w:type="dxa"/>
            </w:tcMar>
            <w:vAlign w:val="center"/>
          </w:tcPr>
          <w:p>
            <w:pPr>
              <w:jc w:val="center"/>
              <w:rPr>
                <w:rFonts w:ascii="仿宋" w:hAnsi="仿宋" w:eastAsia="仿宋" w:cs="仿宋"/>
              </w:rPr>
            </w:pPr>
          </w:p>
        </w:tc>
        <w:tc>
          <w:tcPr>
            <w:tcW w:w="2530" w:type="dxa"/>
            <w:vMerge w:val="continue"/>
            <w:tcBorders>
              <w:tl2br w:val="nil"/>
              <w:tr2bl w:val="nil"/>
            </w:tcBorders>
            <w:tcMar>
              <w:top w:w="0" w:type="dxa"/>
              <w:left w:w="0" w:type="dxa"/>
              <w:bottom w:w="0" w:type="dxa"/>
              <w:right w:w="0" w:type="dxa"/>
            </w:tcMar>
            <w:vAlign w:val="center"/>
          </w:tcPr>
          <w:p>
            <w:pPr>
              <w:jc w:val="center"/>
              <w:rPr>
                <w:rFonts w:ascii="仿宋" w:hAnsi="仿宋" w:eastAsia="仿宋" w:cs="仿宋"/>
              </w:rPr>
            </w:pPr>
          </w:p>
        </w:tc>
        <w:tc>
          <w:tcPr>
            <w:tcW w:w="3587" w:type="dxa"/>
            <w:tcBorders>
              <w:tl2br w:val="nil"/>
              <w:tr2bl w:val="nil"/>
            </w:tcBorders>
            <w:tcMar>
              <w:top w:w="0" w:type="dxa"/>
              <w:left w:w="0" w:type="dxa"/>
              <w:bottom w:w="0" w:type="dxa"/>
              <w:right w:w="0" w:type="dxa"/>
            </w:tcMar>
            <w:vAlign w:val="center"/>
          </w:tcPr>
          <w:p>
            <w:pPr>
              <w:jc w:val="center"/>
              <w:rPr>
                <w:rFonts w:ascii="仿宋" w:hAnsi="仿宋" w:eastAsia="仿宋" w:cs="仿宋"/>
                <w:lang w:val="zh-CN" w:bidi="zh-CN"/>
              </w:rPr>
            </w:pPr>
            <w:r>
              <w:rPr>
                <w:rFonts w:hint="eastAsia" w:ascii="仿宋" w:hAnsi="仿宋" w:eastAsia="仿宋" w:cs="仿宋"/>
                <w:lang w:val="zh-CN" w:bidi="zh-CN"/>
              </w:rPr>
              <w:t>毕业设计规范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9" w:hRule="atLeast"/>
        </w:trPr>
        <w:tc>
          <w:tcPr>
            <w:tcW w:w="2441" w:type="dxa"/>
            <w:vMerge w:val="continue"/>
            <w:tcBorders>
              <w:tl2br w:val="nil"/>
              <w:tr2bl w:val="nil"/>
            </w:tcBorders>
            <w:tcMar>
              <w:top w:w="0" w:type="dxa"/>
              <w:left w:w="0" w:type="dxa"/>
              <w:bottom w:w="0" w:type="dxa"/>
              <w:right w:w="0" w:type="dxa"/>
            </w:tcMar>
            <w:vAlign w:val="center"/>
          </w:tcPr>
          <w:p>
            <w:pPr>
              <w:jc w:val="center"/>
              <w:rPr>
                <w:rFonts w:ascii="仿宋" w:hAnsi="仿宋" w:eastAsia="仿宋" w:cs="仿宋"/>
              </w:rPr>
            </w:pPr>
          </w:p>
        </w:tc>
        <w:tc>
          <w:tcPr>
            <w:tcW w:w="2530" w:type="dxa"/>
            <w:vMerge w:val="continue"/>
            <w:tcBorders>
              <w:tl2br w:val="nil"/>
              <w:tr2bl w:val="nil"/>
            </w:tcBorders>
            <w:tcMar>
              <w:top w:w="0" w:type="dxa"/>
              <w:left w:w="0" w:type="dxa"/>
              <w:bottom w:w="0" w:type="dxa"/>
              <w:right w:w="0" w:type="dxa"/>
            </w:tcMar>
            <w:vAlign w:val="center"/>
          </w:tcPr>
          <w:p>
            <w:pPr>
              <w:jc w:val="center"/>
              <w:rPr>
                <w:rFonts w:ascii="仿宋" w:hAnsi="仿宋" w:eastAsia="仿宋" w:cs="仿宋"/>
              </w:rPr>
            </w:pPr>
          </w:p>
        </w:tc>
        <w:tc>
          <w:tcPr>
            <w:tcW w:w="3587" w:type="dxa"/>
            <w:tcBorders>
              <w:tl2br w:val="nil"/>
              <w:tr2bl w:val="nil"/>
            </w:tcBorders>
            <w:tcMar>
              <w:top w:w="0" w:type="dxa"/>
              <w:left w:w="0" w:type="dxa"/>
              <w:bottom w:w="0" w:type="dxa"/>
              <w:right w:w="0" w:type="dxa"/>
            </w:tcMar>
            <w:vAlign w:val="center"/>
          </w:tcPr>
          <w:p>
            <w:pPr>
              <w:jc w:val="center"/>
              <w:rPr>
                <w:rFonts w:ascii="仿宋" w:hAnsi="仿宋" w:eastAsia="仿宋" w:cs="仿宋"/>
                <w:lang w:val="zh-CN" w:bidi="zh-CN"/>
              </w:rPr>
            </w:pPr>
            <w:r>
              <w:rPr>
                <w:rFonts w:hint="eastAsia" w:ascii="仿宋" w:hAnsi="仿宋" w:eastAsia="仿宋" w:cs="仿宋"/>
                <w:lang w:val="zh-CN" w:bidi="zh-CN"/>
              </w:rPr>
              <w:t>学业考核规范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9" w:hRule="atLeast"/>
        </w:trPr>
        <w:tc>
          <w:tcPr>
            <w:tcW w:w="2441" w:type="dxa"/>
            <w:vMerge w:val="restart"/>
            <w:tcBorders>
              <w:tl2br w:val="nil"/>
              <w:tr2bl w:val="nil"/>
            </w:tcBorders>
            <w:tcMar>
              <w:top w:w="0" w:type="dxa"/>
              <w:left w:w="0" w:type="dxa"/>
              <w:bottom w:w="0" w:type="dxa"/>
              <w:right w:w="0" w:type="dxa"/>
            </w:tcMar>
            <w:vAlign w:val="center"/>
          </w:tcPr>
          <w:p>
            <w:pPr>
              <w:jc w:val="center"/>
              <w:rPr>
                <w:rFonts w:ascii="仿宋" w:hAnsi="仿宋" w:eastAsia="仿宋" w:cs="仿宋"/>
                <w:lang w:val="zh-CN" w:bidi="zh-CN"/>
              </w:rPr>
            </w:pPr>
            <w:r>
              <w:rPr>
                <w:rFonts w:hint="eastAsia" w:ascii="仿宋" w:hAnsi="仿宋" w:eastAsia="仿宋" w:cs="仿宋"/>
                <w:lang w:val="zh-CN" w:bidi="zh-CN"/>
              </w:rPr>
              <w:t>专业（群）发展标准</w:t>
            </w:r>
          </w:p>
        </w:tc>
        <w:tc>
          <w:tcPr>
            <w:tcW w:w="2530" w:type="dxa"/>
            <w:vMerge w:val="restart"/>
            <w:tcBorders>
              <w:tl2br w:val="nil"/>
              <w:tr2bl w:val="nil"/>
            </w:tcBorders>
            <w:tcMar>
              <w:top w:w="0" w:type="dxa"/>
              <w:left w:w="0" w:type="dxa"/>
              <w:bottom w:w="0" w:type="dxa"/>
              <w:right w:w="0" w:type="dxa"/>
            </w:tcMar>
            <w:vAlign w:val="center"/>
          </w:tcPr>
          <w:p>
            <w:pPr>
              <w:jc w:val="center"/>
              <w:rPr>
                <w:rFonts w:ascii="仿宋" w:hAnsi="仿宋" w:eastAsia="仿宋" w:cs="仿宋"/>
                <w:lang w:val="zh-CN" w:bidi="zh-CN"/>
              </w:rPr>
            </w:pPr>
            <w:r>
              <w:rPr>
                <w:rFonts w:hint="eastAsia" w:ascii="仿宋" w:hAnsi="仿宋" w:eastAsia="仿宋" w:cs="仿宋"/>
                <w:lang w:val="zh-CN" w:bidi="zh-CN"/>
              </w:rPr>
              <w:t>各专业（群）发展标准</w:t>
            </w:r>
          </w:p>
        </w:tc>
        <w:tc>
          <w:tcPr>
            <w:tcW w:w="3587" w:type="dxa"/>
            <w:tcBorders>
              <w:tl2br w:val="nil"/>
              <w:tr2bl w:val="nil"/>
            </w:tcBorders>
            <w:tcMar>
              <w:top w:w="0" w:type="dxa"/>
              <w:left w:w="0" w:type="dxa"/>
              <w:bottom w:w="0" w:type="dxa"/>
              <w:right w:w="0" w:type="dxa"/>
            </w:tcMar>
            <w:vAlign w:val="center"/>
          </w:tcPr>
          <w:p>
            <w:pPr>
              <w:jc w:val="center"/>
              <w:rPr>
                <w:rFonts w:ascii="仿宋" w:hAnsi="仿宋" w:eastAsia="仿宋" w:cs="仿宋"/>
                <w:lang w:val="zh-CN" w:bidi="zh-CN"/>
              </w:rPr>
            </w:pPr>
            <w:r>
              <w:rPr>
                <w:rFonts w:hint="eastAsia" w:ascii="仿宋" w:hAnsi="仿宋" w:eastAsia="仿宋" w:cs="仿宋"/>
                <w:lang w:val="zh-CN" w:bidi="zh-CN"/>
              </w:rPr>
              <w:t>各专业（群）建设标准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9" w:hRule="atLeast"/>
        </w:trPr>
        <w:tc>
          <w:tcPr>
            <w:tcW w:w="2441" w:type="dxa"/>
            <w:vMerge w:val="continue"/>
            <w:tcBorders>
              <w:tl2br w:val="nil"/>
              <w:tr2bl w:val="nil"/>
            </w:tcBorders>
            <w:tcMar>
              <w:top w:w="0" w:type="dxa"/>
              <w:left w:w="0" w:type="dxa"/>
              <w:bottom w:w="0" w:type="dxa"/>
              <w:right w:w="0" w:type="dxa"/>
            </w:tcMar>
            <w:vAlign w:val="center"/>
          </w:tcPr>
          <w:p>
            <w:pPr>
              <w:jc w:val="center"/>
              <w:rPr>
                <w:rFonts w:ascii="仿宋" w:hAnsi="仿宋" w:eastAsia="仿宋" w:cs="仿宋"/>
              </w:rPr>
            </w:pPr>
          </w:p>
        </w:tc>
        <w:tc>
          <w:tcPr>
            <w:tcW w:w="2530" w:type="dxa"/>
            <w:vMerge w:val="continue"/>
            <w:tcBorders>
              <w:tl2br w:val="nil"/>
              <w:tr2bl w:val="nil"/>
            </w:tcBorders>
            <w:tcMar>
              <w:top w:w="0" w:type="dxa"/>
              <w:left w:w="0" w:type="dxa"/>
              <w:bottom w:w="0" w:type="dxa"/>
              <w:right w:w="0" w:type="dxa"/>
            </w:tcMar>
            <w:vAlign w:val="center"/>
          </w:tcPr>
          <w:p>
            <w:pPr>
              <w:jc w:val="center"/>
              <w:rPr>
                <w:rFonts w:ascii="仿宋" w:hAnsi="仿宋" w:eastAsia="仿宋" w:cs="仿宋"/>
              </w:rPr>
            </w:pPr>
          </w:p>
        </w:tc>
        <w:tc>
          <w:tcPr>
            <w:tcW w:w="3587" w:type="dxa"/>
            <w:tcBorders>
              <w:tl2br w:val="nil"/>
              <w:tr2bl w:val="nil"/>
            </w:tcBorders>
            <w:tcMar>
              <w:top w:w="0" w:type="dxa"/>
              <w:left w:w="0" w:type="dxa"/>
              <w:bottom w:w="0" w:type="dxa"/>
              <w:right w:w="0" w:type="dxa"/>
            </w:tcMar>
            <w:vAlign w:val="center"/>
          </w:tcPr>
          <w:p>
            <w:pPr>
              <w:jc w:val="center"/>
              <w:rPr>
                <w:rFonts w:ascii="仿宋" w:hAnsi="仿宋" w:eastAsia="仿宋" w:cs="仿宋"/>
                <w:lang w:val="zh-CN" w:bidi="zh-CN"/>
              </w:rPr>
            </w:pPr>
            <w:r>
              <w:rPr>
                <w:rFonts w:hint="eastAsia" w:ascii="仿宋" w:hAnsi="仿宋" w:eastAsia="仿宋" w:cs="仿宋"/>
                <w:lang w:val="zh-CN" w:bidi="zh-CN"/>
              </w:rPr>
              <w:t>各专业（群）教学标准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9" w:hRule="atLeast"/>
        </w:trPr>
        <w:tc>
          <w:tcPr>
            <w:tcW w:w="2441" w:type="dxa"/>
            <w:vMerge w:val="continue"/>
            <w:tcBorders>
              <w:tl2br w:val="nil"/>
              <w:tr2bl w:val="nil"/>
            </w:tcBorders>
            <w:tcMar>
              <w:top w:w="0" w:type="dxa"/>
              <w:left w:w="0" w:type="dxa"/>
              <w:bottom w:w="0" w:type="dxa"/>
              <w:right w:w="0" w:type="dxa"/>
            </w:tcMar>
            <w:vAlign w:val="center"/>
          </w:tcPr>
          <w:p>
            <w:pPr>
              <w:jc w:val="center"/>
              <w:rPr>
                <w:rFonts w:ascii="仿宋" w:hAnsi="仿宋" w:eastAsia="仿宋" w:cs="仿宋"/>
              </w:rPr>
            </w:pPr>
          </w:p>
        </w:tc>
        <w:tc>
          <w:tcPr>
            <w:tcW w:w="2530" w:type="dxa"/>
            <w:vMerge w:val="continue"/>
            <w:tcBorders>
              <w:tl2br w:val="nil"/>
              <w:tr2bl w:val="nil"/>
            </w:tcBorders>
            <w:tcMar>
              <w:top w:w="0" w:type="dxa"/>
              <w:left w:w="0" w:type="dxa"/>
              <w:bottom w:w="0" w:type="dxa"/>
              <w:right w:w="0" w:type="dxa"/>
            </w:tcMar>
            <w:vAlign w:val="center"/>
          </w:tcPr>
          <w:p>
            <w:pPr>
              <w:jc w:val="center"/>
              <w:rPr>
                <w:rFonts w:ascii="仿宋" w:hAnsi="仿宋" w:eastAsia="仿宋" w:cs="仿宋"/>
              </w:rPr>
            </w:pPr>
          </w:p>
        </w:tc>
        <w:tc>
          <w:tcPr>
            <w:tcW w:w="3587" w:type="dxa"/>
            <w:tcBorders>
              <w:tl2br w:val="nil"/>
              <w:tr2bl w:val="nil"/>
            </w:tcBorders>
            <w:tcMar>
              <w:top w:w="0" w:type="dxa"/>
              <w:left w:w="0" w:type="dxa"/>
              <w:bottom w:w="0" w:type="dxa"/>
              <w:right w:w="0" w:type="dxa"/>
            </w:tcMar>
            <w:vAlign w:val="center"/>
          </w:tcPr>
          <w:p>
            <w:pPr>
              <w:jc w:val="center"/>
              <w:rPr>
                <w:rFonts w:ascii="仿宋" w:hAnsi="仿宋" w:eastAsia="仿宋" w:cs="仿宋"/>
                <w:lang w:val="zh-CN" w:bidi="zh-CN"/>
              </w:rPr>
            </w:pPr>
            <w:r>
              <w:rPr>
                <w:rFonts w:hint="eastAsia" w:ascii="仿宋" w:hAnsi="仿宋" w:eastAsia="仿宋" w:cs="仿宋"/>
                <w:lang w:val="zh-CN" w:bidi="zh-CN"/>
              </w:rPr>
              <w:t>各专业人才培养方案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1" w:hRule="atLeast"/>
        </w:trPr>
        <w:tc>
          <w:tcPr>
            <w:tcW w:w="2441" w:type="dxa"/>
            <w:vMerge w:val="continue"/>
            <w:tcBorders>
              <w:tl2br w:val="nil"/>
              <w:tr2bl w:val="nil"/>
            </w:tcBorders>
            <w:tcMar>
              <w:top w:w="0" w:type="dxa"/>
              <w:left w:w="0" w:type="dxa"/>
              <w:bottom w:w="0" w:type="dxa"/>
              <w:right w:w="0" w:type="dxa"/>
            </w:tcMar>
            <w:vAlign w:val="center"/>
          </w:tcPr>
          <w:p>
            <w:pPr>
              <w:jc w:val="center"/>
              <w:rPr>
                <w:rFonts w:ascii="仿宋" w:hAnsi="仿宋" w:eastAsia="仿宋" w:cs="仿宋"/>
              </w:rPr>
            </w:pPr>
          </w:p>
        </w:tc>
        <w:tc>
          <w:tcPr>
            <w:tcW w:w="2530" w:type="dxa"/>
            <w:vMerge w:val="continue"/>
            <w:tcBorders>
              <w:tl2br w:val="nil"/>
              <w:tr2bl w:val="nil"/>
            </w:tcBorders>
            <w:tcMar>
              <w:top w:w="0" w:type="dxa"/>
              <w:left w:w="0" w:type="dxa"/>
              <w:bottom w:w="0" w:type="dxa"/>
              <w:right w:w="0" w:type="dxa"/>
            </w:tcMar>
            <w:vAlign w:val="center"/>
          </w:tcPr>
          <w:p>
            <w:pPr>
              <w:jc w:val="center"/>
              <w:rPr>
                <w:rFonts w:ascii="仿宋" w:hAnsi="仿宋" w:eastAsia="仿宋" w:cs="仿宋"/>
              </w:rPr>
            </w:pPr>
          </w:p>
        </w:tc>
        <w:tc>
          <w:tcPr>
            <w:tcW w:w="3587" w:type="dxa"/>
            <w:tcBorders>
              <w:tl2br w:val="nil"/>
              <w:tr2bl w:val="nil"/>
            </w:tcBorders>
            <w:tcMar>
              <w:top w:w="0" w:type="dxa"/>
              <w:left w:w="0" w:type="dxa"/>
              <w:bottom w:w="0" w:type="dxa"/>
              <w:right w:w="0" w:type="dxa"/>
            </w:tcMar>
            <w:vAlign w:val="center"/>
          </w:tcPr>
          <w:p>
            <w:pPr>
              <w:jc w:val="center"/>
              <w:rPr>
                <w:rFonts w:ascii="仿宋" w:hAnsi="仿宋" w:eastAsia="仿宋" w:cs="仿宋"/>
                <w:lang w:val="zh-CN" w:bidi="zh-CN"/>
              </w:rPr>
            </w:pPr>
            <w:r>
              <w:rPr>
                <w:rFonts w:hint="eastAsia" w:ascii="仿宋" w:hAnsi="仿宋" w:eastAsia="仿宋" w:cs="仿宋"/>
                <w:lang w:val="zh-CN" w:bidi="zh-CN"/>
              </w:rPr>
              <w:t>实训与模块课质量标准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9" w:hRule="atLeast"/>
        </w:trPr>
        <w:tc>
          <w:tcPr>
            <w:tcW w:w="2441" w:type="dxa"/>
            <w:vMerge w:val="continue"/>
            <w:tcBorders>
              <w:tl2br w:val="nil"/>
              <w:tr2bl w:val="nil"/>
            </w:tcBorders>
            <w:tcMar>
              <w:top w:w="0" w:type="dxa"/>
              <w:left w:w="0" w:type="dxa"/>
              <w:bottom w:w="0" w:type="dxa"/>
              <w:right w:w="0" w:type="dxa"/>
            </w:tcMar>
            <w:vAlign w:val="center"/>
          </w:tcPr>
          <w:p>
            <w:pPr>
              <w:jc w:val="center"/>
              <w:rPr>
                <w:rFonts w:ascii="仿宋" w:hAnsi="仿宋" w:eastAsia="仿宋" w:cs="仿宋"/>
              </w:rPr>
            </w:pPr>
          </w:p>
        </w:tc>
        <w:tc>
          <w:tcPr>
            <w:tcW w:w="2530" w:type="dxa"/>
            <w:vMerge w:val="continue"/>
            <w:tcBorders>
              <w:tl2br w:val="nil"/>
              <w:tr2bl w:val="nil"/>
            </w:tcBorders>
            <w:tcMar>
              <w:top w:w="0" w:type="dxa"/>
              <w:left w:w="0" w:type="dxa"/>
              <w:bottom w:w="0" w:type="dxa"/>
              <w:right w:w="0" w:type="dxa"/>
            </w:tcMar>
            <w:vAlign w:val="center"/>
          </w:tcPr>
          <w:p>
            <w:pPr>
              <w:jc w:val="center"/>
              <w:rPr>
                <w:rFonts w:ascii="仿宋" w:hAnsi="仿宋" w:eastAsia="仿宋" w:cs="仿宋"/>
              </w:rPr>
            </w:pPr>
          </w:p>
        </w:tc>
        <w:tc>
          <w:tcPr>
            <w:tcW w:w="3587" w:type="dxa"/>
            <w:tcBorders>
              <w:tl2br w:val="nil"/>
              <w:tr2bl w:val="nil"/>
            </w:tcBorders>
            <w:tcMar>
              <w:top w:w="0" w:type="dxa"/>
              <w:left w:w="0" w:type="dxa"/>
              <w:bottom w:w="0" w:type="dxa"/>
              <w:right w:w="0" w:type="dxa"/>
            </w:tcMar>
            <w:vAlign w:val="center"/>
          </w:tcPr>
          <w:p>
            <w:pPr>
              <w:jc w:val="center"/>
              <w:rPr>
                <w:rFonts w:ascii="仿宋" w:hAnsi="仿宋" w:eastAsia="仿宋" w:cs="仿宋"/>
                <w:lang w:val="zh-CN" w:bidi="zh-CN"/>
              </w:rPr>
            </w:pPr>
            <w:r>
              <w:rPr>
                <w:rFonts w:hint="eastAsia" w:ascii="仿宋" w:hAnsi="仿宋" w:eastAsia="仿宋" w:cs="仿宋"/>
                <w:lang w:val="zh-CN" w:bidi="zh-CN"/>
              </w:rPr>
              <w:t>专业顶岗实习质量标准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9" w:hRule="atLeast"/>
        </w:trPr>
        <w:tc>
          <w:tcPr>
            <w:tcW w:w="2441" w:type="dxa"/>
            <w:vMerge w:val="continue"/>
            <w:tcBorders>
              <w:tl2br w:val="nil"/>
              <w:tr2bl w:val="nil"/>
            </w:tcBorders>
            <w:tcMar>
              <w:top w:w="0" w:type="dxa"/>
              <w:left w:w="0" w:type="dxa"/>
              <w:bottom w:w="0" w:type="dxa"/>
              <w:right w:w="0" w:type="dxa"/>
            </w:tcMar>
            <w:vAlign w:val="center"/>
          </w:tcPr>
          <w:p>
            <w:pPr>
              <w:jc w:val="center"/>
              <w:rPr>
                <w:rFonts w:ascii="仿宋" w:hAnsi="仿宋" w:eastAsia="仿宋" w:cs="仿宋"/>
              </w:rPr>
            </w:pPr>
          </w:p>
        </w:tc>
        <w:tc>
          <w:tcPr>
            <w:tcW w:w="2530" w:type="dxa"/>
            <w:vMerge w:val="continue"/>
            <w:tcBorders>
              <w:tl2br w:val="nil"/>
              <w:tr2bl w:val="nil"/>
            </w:tcBorders>
            <w:tcMar>
              <w:top w:w="0" w:type="dxa"/>
              <w:left w:w="0" w:type="dxa"/>
              <w:bottom w:w="0" w:type="dxa"/>
              <w:right w:w="0" w:type="dxa"/>
            </w:tcMar>
            <w:vAlign w:val="center"/>
          </w:tcPr>
          <w:p>
            <w:pPr>
              <w:jc w:val="center"/>
              <w:rPr>
                <w:rFonts w:ascii="仿宋" w:hAnsi="仿宋" w:eastAsia="仿宋" w:cs="仿宋"/>
              </w:rPr>
            </w:pPr>
          </w:p>
        </w:tc>
        <w:tc>
          <w:tcPr>
            <w:tcW w:w="3587" w:type="dxa"/>
            <w:tcBorders>
              <w:tl2br w:val="nil"/>
              <w:tr2bl w:val="nil"/>
            </w:tcBorders>
            <w:tcMar>
              <w:top w:w="0" w:type="dxa"/>
              <w:left w:w="0" w:type="dxa"/>
              <w:bottom w:w="0" w:type="dxa"/>
              <w:right w:w="0" w:type="dxa"/>
            </w:tcMar>
            <w:vAlign w:val="center"/>
          </w:tcPr>
          <w:p>
            <w:pPr>
              <w:jc w:val="center"/>
              <w:rPr>
                <w:rFonts w:ascii="仿宋" w:hAnsi="仿宋" w:eastAsia="仿宋" w:cs="仿宋"/>
                <w:lang w:val="zh-CN" w:bidi="zh-CN"/>
              </w:rPr>
            </w:pPr>
            <w:r>
              <w:rPr>
                <w:rFonts w:hint="eastAsia" w:ascii="仿宋" w:hAnsi="仿宋" w:eastAsia="仿宋" w:cs="仿宋"/>
                <w:lang w:val="zh-CN" w:bidi="zh-CN"/>
              </w:rPr>
              <w:t>专业毕业设计质量标准</w:t>
            </w:r>
          </w:p>
        </w:tc>
      </w:tr>
    </w:tbl>
    <w:p>
      <w:pPr>
        <w:adjustRightInd w:val="0"/>
        <w:spacing w:line="540" w:lineRule="exact"/>
        <w:ind w:firstLine="560" w:firstLineChars="200"/>
        <w:rPr>
          <w:rFonts w:ascii="仿宋" w:hAnsi="仿宋" w:eastAsia="仿宋" w:cs="仿宋"/>
          <w:szCs w:val="21"/>
        </w:rPr>
      </w:pPr>
      <w:r>
        <w:rPr>
          <w:rFonts w:hint="eastAsia" w:ascii="仿宋" w:hAnsi="仿宋" w:eastAsia="仿宋" w:cs="仿宋"/>
          <w:sz w:val="28"/>
          <w:szCs w:val="28"/>
        </w:rPr>
        <w:t>实施课程建设标准。按照课程建设目标，在现有课程标准和课程建设资源基础上，建立包含课程开发标准、课程教学标准、课程考核标准三类标准的课程基本标准。课程团队根据专业规划的人才培养要求，制定课程发展标准。课程标准具体内容见课程建设标准一览表。</w:t>
      </w:r>
    </w:p>
    <w:p>
      <w:pPr>
        <w:adjustRightInd w:val="0"/>
        <w:spacing w:line="540" w:lineRule="exact"/>
        <w:jc w:val="center"/>
        <w:rPr>
          <w:rFonts w:ascii="仿宋" w:hAnsi="仿宋" w:eastAsia="仿宋" w:cs="仿宋"/>
          <w:sz w:val="28"/>
          <w:szCs w:val="28"/>
        </w:rPr>
      </w:pPr>
      <w:r>
        <w:rPr>
          <w:rFonts w:hint="eastAsia" w:ascii="仿宋" w:hAnsi="仿宋" w:eastAsia="仿宋" w:cs="仿宋"/>
          <w:sz w:val="28"/>
          <w:szCs w:val="28"/>
        </w:rPr>
        <w:t>课程建设标准一览表</w:t>
      </w:r>
    </w:p>
    <w:tbl>
      <w:tblPr>
        <w:tblStyle w:val="16"/>
        <w:tblpPr w:leftFromText="181" w:rightFromText="181" w:vertAnchor="text" w:horzAnchor="page" w:tblpX="1707" w:tblpY="58"/>
        <w:tblOverlap w:val="never"/>
        <w:tblW w:w="8475"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749"/>
        <w:gridCol w:w="2766"/>
        <w:gridCol w:w="396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2" w:hRule="atLeast"/>
        </w:trPr>
        <w:tc>
          <w:tcPr>
            <w:tcW w:w="1749" w:type="dxa"/>
            <w:tcBorders>
              <w:tl2br w:val="nil"/>
              <w:tr2bl w:val="nil"/>
            </w:tcBorders>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层面</w:t>
            </w:r>
          </w:p>
        </w:tc>
        <w:tc>
          <w:tcPr>
            <w:tcW w:w="2766" w:type="dxa"/>
            <w:tcBorders>
              <w:tl2br w:val="nil"/>
              <w:tr2bl w:val="nil"/>
            </w:tcBorders>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标准名称</w:t>
            </w:r>
          </w:p>
        </w:tc>
        <w:tc>
          <w:tcPr>
            <w:tcW w:w="3960" w:type="dxa"/>
            <w:tcBorders>
              <w:tl2br w:val="nil"/>
              <w:tr2bl w:val="nil"/>
            </w:tcBorders>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标准内容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9" w:hRule="atLeast"/>
        </w:trPr>
        <w:tc>
          <w:tcPr>
            <w:tcW w:w="1749" w:type="dxa"/>
            <w:vMerge w:val="restart"/>
            <w:tcBorders>
              <w:tl2br w:val="nil"/>
              <w:tr2bl w:val="nil"/>
            </w:tcBorders>
            <w:vAlign w:val="center"/>
          </w:tcPr>
          <w:p>
            <w:pPr>
              <w:jc w:val="center"/>
              <w:rPr>
                <w:rFonts w:ascii="仿宋" w:hAnsi="仿宋" w:eastAsia="仿宋" w:cs="仿宋"/>
                <w:lang w:val="zh-CN" w:bidi="zh-CN"/>
              </w:rPr>
            </w:pPr>
            <w:r>
              <w:rPr>
                <w:rFonts w:hint="eastAsia" w:ascii="仿宋" w:hAnsi="仿宋" w:eastAsia="仿宋" w:cs="仿宋"/>
                <w:lang w:val="zh-CN" w:bidi="zh-CN"/>
              </w:rPr>
              <w:t>课程基本标准</w:t>
            </w:r>
          </w:p>
        </w:tc>
        <w:tc>
          <w:tcPr>
            <w:tcW w:w="2766" w:type="dxa"/>
            <w:vMerge w:val="restart"/>
            <w:tcBorders>
              <w:tl2br w:val="nil"/>
              <w:tr2bl w:val="nil"/>
            </w:tcBorders>
            <w:vAlign w:val="center"/>
          </w:tcPr>
          <w:p>
            <w:pPr>
              <w:jc w:val="center"/>
              <w:rPr>
                <w:rFonts w:ascii="仿宋" w:hAnsi="仿宋" w:eastAsia="仿宋" w:cs="仿宋"/>
                <w:lang w:val="zh-CN" w:bidi="zh-CN"/>
              </w:rPr>
            </w:pPr>
            <w:r>
              <w:rPr>
                <w:rFonts w:hint="eastAsia" w:ascii="仿宋" w:hAnsi="仿宋" w:eastAsia="仿宋" w:cs="仿宋"/>
                <w:lang w:val="zh-CN" w:bidi="zh-CN"/>
              </w:rPr>
              <w:t>课程开发标准</w:t>
            </w:r>
          </w:p>
        </w:tc>
        <w:tc>
          <w:tcPr>
            <w:tcW w:w="3960" w:type="dxa"/>
            <w:tcBorders>
              <w:tl2br w:val="nil"/>
              <w:tr2bl w:val="nil"/>
            </w:tcBorders>
            <w:vAlign w:val="center"/>
          </w:tcPr>
          <w:p>
            <w:pPr>
              <w:jc w:val="center"/>
              <w:rPr>
                <w:rFonts w:ascii="仿宋" w:hAnsi="仿宋" w:eastAsia="仿宋" w:cs="仿宋"/>
                <w:lang w:val="zh-CN" w:bidi="zh-CN"/>
              </w:rPr>
            </w:pPr>
            <w:r>
              <w:rPr>
                <w:rFonts w:hint="eastAsia" w:ascii="仿宋" w:hAnsi="仿宋" w:eastAsia="仿宋" w:cs="仿宋"/>
                <w:lang w:val="zh-CN" w:bidi="zh-CN"/>
              </w:rPr>
              <w:t>课程开发规范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9" w:hRule="atLeast"/>
        </w:trPr>
        <w:tc>
          <w:tcPr>
            <w:tcW w:w="1749" w:type="dxa"/>
            <w:vMerge w:val="continue"/>
            <w:tcBorders>
              <w:tl2br w:val="nil"/>
              <w:tr2bl w:val="nil"/>
            </w:tcBorders>
            <w:vAlign w:val="center"/>
          </w:tcPr>
          <w:p>
            <w:pPr>
              <w:jc w:val="center"/>
              <w:rPr>
                <w:rFonts w:ascii="仿宋" w:hAnsi="仿宋" w:eastAsia="仿宋" w:cs="仿宋"/>
              </w:rPr>
            </w:pPr>
          </w:p>
        </w:tc>
        <w:tc>
          <w:tcPr>
            <w:tcW w:w="2766" w:type="dxa"/>
            <w:vMerge w:val="continue"/>
            <w:tcBorders>
              <w:tl2br w:val="nil"/>
              <w:tr2bl w:val="nil"/>
            </w:tcBorders>
            <w:vAlign w:val="center"/>
          </w:tcPr>
          <w:p>
            <w:pPr>
              <w:jc w:val="center"/>
              <w:rPr>
                <w:rFonts w:ascii="仿宋" w:hAnsi="仿宋" w:eastAsia="仿宋" w:cs="仿宋"/>
                <w:lang w:val="zh-CN" w:bidi="zh-CN"/>
              </w:rPr>
            </w:pPr>
          </w:p>
        </w:tc>
        <w:tc>
          <w:tcPr>
            <w:tcW w:w="3960" w:type="dxa"/>
            <w:tcBorders>
              <w:tl2br w:val="nil"/>
              <w:tr2bl w:val="nil"/>
            </w:tcBorders>
            <w:vAlign w:val="center"/>
          </w:tcPr>
          <w:p>
            <w:pPr>
              <w:jc w:val="center"/>
              <w:rPr>
                <w:rFonts w:ascii="仿宋" w:hAnsi="仿宋" w:eastAsia="仿宋" w:cs="仿宋"/>
                <w:lang w:val="zh-CN" w:bidi="zh-CN"/>
              </w:rPr>
            </w:pPr>
            <w:r>
              <w:rPr>
                <w:rFonts w:hint="eastAsia" w:ascii="仿宋" w:hAnsi="仿宋" w:eastAsia="仿宋" w:cs="仿宋"/>
                <w:lang w:val="zh-CN" w:bidi="zh-CN"/>
              </w:rPr>
              <w:t>教材建设规定</w:t>
            </w:r>
          </w:p>
        </w:tc>
      </w:tr>
      <w:tr>
        <w:tblPrEx>
          <w:tblCellMar>
            <w:top w:w="0" w:type="dxa"/>
            <w:left w:w="0" w:type="dxa"/>
            <w:bottom w:w="0" w:type="dxa"/>
            <w:right w:w="0" w:type="dxa"/>
          </w:tblCellMar>
        </w:tblPrEx>
        <w:trPr>
          <w:trHeight w:val="359" w:hRule="atLeast"/>
        </w:trPr>
        <w:tc>
          <w:tcPr>
            <w:tcW w:w="1749" w:type="dxa"/>
            <w:vMerge w:val="continue"/>
            <w:tcBorders>
              <w:tl2br w:val="nil"/>
              <w:tr2bl w:val="nil"/>
            </w:tcBorders>
            <w:vAlign w:val="center"/>
          </w:tcPr>
          <w:p>
            <w:pPr>
              <w:jc w:val="center"/>
              <w:rPr>
                <w:rFonts w:ascii="仿宋" w:hAnsi="仿宋" w:eastAsia="仿宋" w:cs="仿宋"/>
              </w:rPr>
            </w:pPr>
          </w:p>
        </w:tc>
        <w:tc>
          <w:tcPr>
            <w:tcW w:w="2766" w:type="dxa"/>
            <w:vMerge w:val="continue"/>
            <w:tcBorders>
              <w:tl2br w:val="nil"/>
              <w:tr2bl w:val="nil"/>
            </w:tcBorders>
            <w:vAlign w:val="center"/>
          </w:tcPr>
          <w:p>
            <w:pPr>
              <w:jc w:val="center"/>
              <w:rPr>
                <w:rFonts w:ascii="仿宋" w:hAnsi="仿宋" w:eastAsia="仿宋" w:cs="仿宋"/>
                <w:lang w:val="zh-CN" w:bidi="zh-CN"/>
              </w:rPr>
            </w:pPr>
          </w:p>
        </w:tc>
        <w:tc>
          <w:tcPr>
            <w:tcW w:w="3960" w:type="dxa"/>
            <w:tcBorders>
              <w:tl2br w:val="nil"/>
              <w:tr2bl w:val="nil"/>
            </w:tcBorders>
            <w:vAlign w:val="center"/>
          </w:tcPr>
          <w:p>
            <w:pPr>
              <w:jc w:val="center"/>
              <w:rPr>
                <w:rFonts w:ascii="仿宋" w:hAnsi="仿宋" w:eastAsia="仿宋" w:cs="仿宋"/>
                <w:lang w:val="zh-CN" w:bidi="zh-CN"/>
              </w:rPr>
            </w:pPr>
            <w:r>
              <w:rPr>
                <w:rFonts w:hint="eastAsia" w:ascii="仿宋" w:hAnsi="仿宋" w:eastAsia="仿宋" w:cs="仿宋"/>
                <w:lang w:val="zh-CN" w:bidi="zh-CN"/>
              </w:rPr>
              <w:t>课程设计要求</w:t>
            </w:r>
          </w:p>
        </w:tc>
      </w:tr>
      <w:tr>
        <w:tblPrEx>
          <w:tblCellMar>
            <w:top w:w="0" w:type="dxa"/>
            <w:left w:w="0" w:type="dxa"/>
            <w:bottom w:w="0" w:type="dxa"/>
            <w:right w:w="0" w:type="dxa"/>
          </w:tblCellMar>
        </w:tblPrEx>
        <w:trPr>
          <w:trHeight w:val="361" w:hRule="atLeast"/>
        </w:trPr>
        <w:tc>
          <w:tcPr>
            <w:tcW w:w="1749" w:type="dxa"/>
            <w:vMerge w:val="continue"/>
            <w:tcBorders>
              <w:tl2br w:val="nil"/>
              <w:tr2bl w:val="nil"/>
            </w:tcBorders>
            <w:vAlign w:val="center"/>
          </w:tcPr>
          <w:p>
            <w:pPr>
              <w:jc w:val="center"/>
              <w:rPr>
                <w:rFonts w:ascii="仿宋" w:hAnsi="仿宋" w:eastAsia="仿宋" w:cs="仿宋"/>
              </w:rPr>
            </w:pPr>
          </w:p>
        </w:tc>
        <w:tc>
          <w:tcPr>
            <w:tcW w:w="2766" w:type="dxa"/>
            <w:vMerge w:val="continue"/>
            <w:tcBorders>
              <w:tl2br w:val="nil"/>
              <w:tr2bl w:val="nil"/>
            </w:tcBorders>
            <w:vAlign w:val="center"/>
          </w:tcPr>
          <w:p>
            <w:pPr>
              <w:jc w:val="center"/>
              <w:rPr>
                <w:rFonts w:ascii="仿宋" w:hAnsi="仿宋" w:eastAsia="仿宋" w:cs="仿宋"/>
                <w:lang w:val="zh-CN" w:bidi="zh-CN"/>
              </w:rPr>
            </w:pPr>
          </w:p>
        </w:tc>
        <w:tc>
          <w:tcPr>
            <w:tcW w:w="3960" w:type="dxa"/>
            <w:tcBorders>
              <w:tl2br w:val="nil"/>
              <w:tr2bl w:val="nil"/>
            </w:tcBorders>
            <w:vAlign w:val="center"/>
          </w:tcPr>
          <w:p>
            <w:pPr>
              <w:jc w:val="center"/>
              <w:rPr>
                <w:rFonts w:ascii="仿宋" w:hAnsi="仿宋" w:eastAsia="仿宋" w:cs="仿宋"/>
                <w:lang w:val="zh-CN" w:bidi="zh-CN"/>
              </w:rPr>
            </w:pPr>
            <w:r>
              <w:rPr>
                <w:rFonts w:hint="eastAsia" w:ascii="仿宋" w:hAnsi="仿宋" w:eastAsia="仿宋" w:cs="仿宋"/>
                <w:lang w:val="zh-CN" w:bidi="zh-CN"/>
              </w:rPr>
              <w:t>课程质量诊断标准</w:t>
            </w:r>
          </w:p>
        </w:tc>
      </w:tr>
      <w:tr>
        <w:tblPrEx>
          <w:tblCellMar>
            <w:top w:w="0" w:type="dxa"/>
            <w:left w:w="0" w:type="dxa"/>
            <w:bottom w:w="0" w:type="dxa"/>
            <w:right w:w="0" w:type="dxa"/>
          </w:tblCellMar>
        </w:tblPrEx>
        <w:trPr>
          <w:trHeight w:val="359" w:hRule="atLeast"/>
        </w:trPr>
        <w:tc>
          <w:tcPr>
            <w:tcW w:w="1749" w:type="dxa"/>
            <w:vMerge w:val="continue"/>
            <w:tcBorders>
              <w:tl2br w:val="nil"/>
              <w:tr2bl w:val="nil"/>
            </w:tcBorders>
            <w:vAlign w:val="center"/>
          </w:tcPr>
          <w:p>
            <w:pPr>
              <w:jc w:val="center"/>
              <w:rPr>
                <w:rFonts w:ascii="仿宋" w:hAnsi="仿宋" w:eastAsia="仿宋" w:cs="仿宋"/>
                <w:lang w:val="zh-CN" w:bidi="zh-CN"/>
              </w:rPr>
            </w:pPr>
          </w:p>
        </w:tc>
        <w:tc>
          <w:tcPr>
            <w:tcW w:w="2766" w:type="dxa"/>
            <w:vMerge w:val="restart"/>
            <w:tcBorders>
              <w:tl2br w:val="nil"/>
              <w:tr2bl w:val="nil"/>
            </w:tcBorders>
            <w:vAlign w:val="center"/>
          </w:tcPr>
          <w:p>
            <w:pPr>
              <w:jc w:val="center"/>
              <w:rPr>
                <w:rFonts w:ascii="仿宋" w:hAnsi="仿宋" w:eastAsia="仿宋" w:cs="仿宋"/>
                <w:lang w:val="zh-CN" w:bidi="zh-CN"/>
              </w:rPr>
            </w:pPr>
            <w:r>
              <w:rPr>
                <w:rFonts w:hint="eastAsia" w:ascii="仿宋" w:hAnsi="仿宋" w:eastAsia="仿宋" w:cs="仿宋"/>
                <w:lang w:val="zh-CN" w:bidi="zh-CN"/>
              </w:rPr>
              <w:t>课程运行标准</w:t>
            </w:r>
          </w:p>
        </w:tc>
        <w:tc>
          <w:tcPr>
            <w:tcW w:w="3960" w:type="dxa"/>
            <w:tcBorders>
              <w:tl2br w:val="nil"/>
              <w:tr2bl w:val="nil"/>
            </w:tcBorders>
            <w:vAlign w:val="center"/>
          </w:tcPr>
          <w:p>
            <w:pPr>
              <w:jc w:val="center"/>
              <w:rPr>
                <w:rFonts w:ascii="仿宋" w:hAnsi="仿宋" w:eastAsia="仿宋" w:cs="仿宋"/>
                <w:lang w:val="zh-CN" w:bidi="zh-CN"/>
              </w:rPr>
            </w:pPr>
            <w:r>
              <w:rPr>
                <w:rFonts w:hint="eastAsia" w:ascii="仿宋" w:hAnsi="仿宋" w:eastAsia="仿宋" w:cs="仿宋"/>
                <w:lang w:val="zh-CN" w:bidi="zh-CN"/>
              </w:rPr>
              <w:t>教学进程表制定规范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9" w:hRule="atLeast"/>
        </w:trPr>
        <w:tc>
          <w:tcPr>
            <w:tcW w:w="1749" w:type="dxa"/>
            <w:vMerge w:val="continue"/>
            <w:tcBorders>
              <w:tl2br w:val="nil"/>
              <w:tr2bl w:val="nil"/>
            </w:tcBorders>
            <w:vAlign w:val="center"/>
          </w:tcPr>
          <w:p>
            <w:pPr>
              <w:jc w:val="center"/>
              <w:rPr>
                <w:rFonts w:ascii="仿宋" w:hAnsi="仿宋" w:eastAsia="仿宋" w:cs="仿宋"/>
              </w:rPr>
            </w:pPr>
          </w:p>
        </w:tc>
        <w:tc>
          <w:tcPr>
            <w:tcW w:w="2766" w:type="dxa"/>
            <w:vMerge w:val="continue"/>
            <w:tcBorders>
              <w:tl2br w:val="nil"/>
              <w:tr2bl w:val="nil"/>
            </w:tcBorders>
            <w:vAlign w:val="center"/>
          </w:tcPr>
          <w:p>
            <w:pPr>
              <w:jc w:val="center"/>
              <w:rPr>
                <w:rFonts w:ascii="仿宋" w:hAnsi="仿宋" w:eastAsia="仿宋" w:cs="仿宋"/>
                <w:lang w:val="zh-CN" w:bidi="zh-CN"/>
              </w:rPr>
            </w:pPr>
          </w:p>
        </w:tc>
        <w:tc>
          <w:tcPr>
            <w:tcW w:w="3960" w:type="dxa"/>
            <w:tcBorders>
              <w:tl2br w:val="nil"/>
              <w:tr2bl w:val="nil"/>
            </w:tcBorders>
            <w:vAlign w:val="center"/>
          </w:tcPr>
          <w:p>
            <w:pPr>
              <w:jc w:val="center"/>
              <w:rPr>
                <w:rFonts w:ascii="仿宋" w:hAnsi="仿宋" w:eastAsia="仿宋" w:cs="仿宋"/>
                <w:lang w:val="zh-CN" w:bidi="zh-CN"/>
              </w:rPr>
            </w:pPr>
            <w:r>
              <w:rPr>
                <w:rFonts w:hint="eastAsia" w:ascii="仿宋" w:hAnsi="仿宋" w:eastAsia="仿宋" w:cs="仿宋"/>
                <w:lang w:val="zh-CN" w:bidi="zh-CN"/>
              </w:rPr>
              <w:t>授课计划编写规范</w:t>
            </w:r>
          </w:p>
        </w:tc>
      </w:tr>
      <w:tr>
        <w:tblPrEx>
          <w:tblCellMar>
            <w:top w:w="0" w:type="dxa"/>
            <w:left w:w="0" w:type="dxa"/>
            <w:bottom w:w="0" w:type="dxa"/>
            <w:right w:w="0" w:type="dxa"/>
          </w:tblCellMar>
        </w:tblPrEx>
        <w:trPr>
          <w:trHeight w:val="359" w:hRule="atLeast"/>
        </w:trPr>
        <w:tc>
          <w:tcPr>
            <w:tcW w:w="1749" w:type="dxa"/>
            <w:vMerge w:val="continue"/>
            <w:tcBorders>
              <w:tl2br w:val="nil"/>
              <w:tr2bl w:val="nil"/>
            </w:tcBorders>
            <w:vAlign w:val="center"/>
          </w:tcPr>
          <w:p>
            <w:pPr>
              <w:jc w:val="center"/>
              <w:rPr>
                <w:rFonts w:ascii="仿宋" w:hAnsi="仿宋" w:eastAsia="仿宋" w:cs="仿宋"/>
              </w:rPr>
            </w:pPr>
          </w:p>
        </w:tc>
        <w:tc>
          <w:tcPr>
            <w:tcW w:w="2766" w:type="dxa"/>
            <w:vMerge w:val="continue"/>
            <w:tcBorders>
              <w:tl2br w:val="nil"/>
              <w:tr2bl w:val="nil"/>
            </w:tcBorders>
            <w:vAlign w:val="center"/>
          </w:tcPr>
          <w:p>
            <w:pPr>
              <w:jc w:val="center"/>
              <w:rPr>
                <w:rFonts w:ascii="仿宋" w:hAnsi="仿宋" w:eastAsia="仿宋" w:cs="仿宋"/>
                <w:lang w:val="zh-CN" w:bidi="zh-CN"/>
              </w:rPr>
            </w:pPr>
          </w:p>
        </w:tc>
        <w:tc>
          <w:tcPr>
            <w:tcW w:w="3960" w:type="dxa"/>
            <w:tcBorders>
              <w:tl2br w:val="nil"/>
              <w:tr2bl w:val="nil"/>
            </w:tcBorders>
            <w:vAlign w:val="center"/>
          </w:tcPr>
          <w:p>
            <w:pPr>
              <w:jc w:val="center"/>
              <w:rPr>
                <w:rFonts w:ascii="仿宋" w:hAnsi="仿宋" w:eastAsia="仿宋" w:cs="仿宋"/>
                <w:lang w:val="zh-CN" w:bidi="zh-CN"/>
              </w:rPr>
            </w:pPr>
            <w:r>
              <w:rPr>
                <w:rFonts w:hint="eastAsia" w:ascii="仿宋" w:hAnsi="仿宋" w:eastAsia="仿宋" w:cs="仿宋"/>
                <w:lang w:val="zh-CN" w:bidi="zh-CN"/>
              </w:rPr>
              <w:t>教案编写规范</w:t>
            </w:r>
          </w:p>
        </w:tc>
      </w:tr>
      <w:tr>
        <w:tblPrEx>
          <w:tblCellMar>
            <w:top w:w="0" w:type="dxa"/>
            <w:left w:w="0" w:type="dxa"/>
            <w:bottom w:w="0" w:type="dxa"/>
            <w:right w:w="0" w:type="dxa"/>
          </w:tblCellMar>
        </w:tblPrEx>
        <w:trPr>
          <w:trHeight w:val="359" w:hRule="atLeast"/>
        </w:trPr>
        <w:tc>
          <w:tcPr>
            <w:tcW w:w="1749" w:type="dxa"/>
            <w:vMerge w:val="continue"/>
            <w:tcBorders>
              <w:tl2br w:val="nil"/>
              <w:tr2bl w:val="nil"/>
            </w:tcBorders>
            <w:vAlign w:val="center"/>
          </w:tcPr>
          <w:p>
            <w:pPr>
              <w:jc w:val="center"/>
              <w:rPr>
                <w:rFonts w:ascii="仿宋" w:hAnsi="仿宋" w:eastAsia="仿宋" w:cs="仿宋"/>
              </w:rPr>
            </w:pPr>
          </w:p>
        </w:tc>
        <w:tc>
          <w:tcPr>
            <w:tcW w:w="2766" w:type="dxa"/>
            <w:vMerge w:val="continue"/>
            <w:tcBorders>
              <w:tl2br w:val="nil"/>
              <w:tr2bl w:val="nil"/>
            </w:tcBorders>
            <w:vAlign w:val="center"/>
          </w:tcPr>
          <w:p>
            <w:pPr>
              <w:jc w:val="center"/>
              <w:rPr>
                <w:rFonts w:ascii="仿宋" w:hAnsi="仿宋" w:eastAsia="仿宋" w:cs="仿宋"/>
                <w:lang w:val="zh-CN" w:bidi="zh-CN"/>
              </w:rPr>
            </w:pPr>
          </w:p>
        </w:tc>
        <w:tc>
          <w:tcPr>
            <w:tcW w:w="3960" w:type="dxa"/>
            <w:tcBorders>
              <w:tl2br w:val="nil"/>
              <w:tr2bl w:val="nil"/>
            </w:tcBorders>
            <w:vAlign w:val="center"/>
          </w:tcPr>
          <w:p>
            <w:pPr>
              <w:jc w:val="center"/>
              <w:rPr>
                <w:rFonts w:ascii="仿宋" w:hAnsi="仿宋" w:eastAsia="仿宋" w:cs="仿宋"/>
                <w:lang w:val="zh-CN" w:bidi="zh-CN"/>
              </w:rPr>
            </w:pPr>
            <w:r>
              <w:rPr>
                <w:rFonts w:hint="eastAsia" w:ascii="仿宋" w:hAnsi="仿宋" w:eastAsia="仿宋" w:cs="仿宋"/>
                <w:lang w:val="zh-CN" w:bidi="zh-CN"/>
              </w:rPr>
              <w:t>课堂教学质量标准</w:t>
            </w:r>
          </w:p>
        </w:tc>
      </w:tr>
      <w:tr>
        <w:tblPrEx>
          <w:tblCellMar>
            <w:top w:w="0" w:type="dxa"/>
            <w:left w:w="0" w:type="dxa"/>
            <w:bottom w:w="0" w:type="dxa"/>
            <w:right w:w="0" w:type="dxa"/>
          </w:tblCellMar>
        </w:tblPrEx>
        <w:trPr>
          <w:trHeight w:val="360" w:hRule="atLeast"/>
        </w:trPr>
        <w:tc>
          <w:tcPr>
            <w:tcW w:w="1749" w:type="dxa"/>
            <w:vMerge w:val="continue"/>
            <w:tcBorders>
              <w:tl2br w:val="nil"/>
              <w:tr2bl w:val="nil"/>
            </w:tcBorders>
            <w:vAlign w:val="center"/>
          </w:tcPr>
          <w:p>
            <w:pPr>
              <w:jc w:val="center"/>
              <w:rPr>
                <w:rFonts w:ascii="仿宋" w:hAnsi="仿宋" w:eastAsia="仿宋" w:cs="仿宋"/>
                <w:lang w:val="zh-CN" w:bidi="zh-CN"/>
              </w:rPr>
            </w:pPr>
          </w:p>
        </w:tc>
        <w:tc>
          <w:tcPr>
            <w:tcW w:w="2766" w:type="dxa"/>
            <w:vMerge w:val="restart"/>
            <w:tcBorders>
              <w:tl2br w:val="nil"/>
              <w:tr2bl w:val="nil"/>
            </w:tcBorders>
            <w:vAlign w:val="center"/>
          </w:tcPr>
          <w:p>
            <w:pPr>
              <w:jc w:val="center"/>
              <w:rPr>
                <w:rFonts w:ascii="仿宋" w:hAnsi="仿宋" w:eastAsia="仿宋" w:cs="仿宋"/>
                <w:lang w:val="zh-CN" w:bidi="zh-CN"/>
              </w:rPr>
            </w:pPr>
            <w:r>
              <w:rPr>
                <w:rFonts w:hint="eastAsia" w:ascii="仿宋" w:hAnsi="仿宋" w:eastAsia="仿宋" w:cs="仿宋"/>
                <w:lang w:val="zh-CN" w:bidi="zh-CN"/>
              </w:rPr>
              <w:t>课程管理标准</w:t>
            </w:r>
          </w:p>
        </w:tc>
        <w:tc>
          <w:tcPr>
            <w:tcW w:w="3960" w:type="dxa"/>
            <w:tcBorders>
              <w:tl2br w:val="nil"/>
              <w:tr2bl w:val="nil"/>
            </w:tcBorders>
            <w:vAlign w:val="center"/>
          </w:tcPr>
          <w:p>
            <w:pPr>
              <w:jc w:val="center"/>
              <w:rPr>
                <w:rFonts w:ascii="仿宋" w:hAnsi="仿宋" w:eastAsia="仿宋" w:cs="仿宋"/>
                <w:lang w:val="zh-CN" w:bidi="zh-CN"/>
              </w:rPr>
            </w:pPr>
            <w:r>
              <w:rPr>
                <w:rFonts w:hint="eastAsia" w:ascii="仿宋" w:hAnsi="仿宋" w:eastAsia="仿宋" w:cs="仿宋"/>
                <w:lang w:val="zh-CN" w:bidi="zh-CN"/>
              </w:rPr>
              <w:t>在线课程管理办法</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1" w:hRule="atLeast"/>
        </w:trPr>
        <w:tc>
          <w:tcPr>
            <w:tcW w:w="1749" w:type="dxa"/>
            <w:vMerge w:val="continue"/>
            <w:tcBorders>
              <w:tl2br w:val="nil"/>
              <w:tr2bl w:val="nil"/>
            </w:tcBorders>
            <w:vAlign w:val="center"/>
          </w:tcPr>
          <w:p>
            <w:pPr>
              <w:jc w:val="center"/>
              <w:rPr>
                <w:rFonts w:ascii="仿宋" w:hAnsi="仿宋" w:eastAsia="仿宋" w:cs="仿宋"/>
              </w:rPr>
            </w:pPr>
          </w:p>
        </w:tc>
        <w:tc>
          <w:tcPr>
            <w:tcW w:w="2766" w:type="dxa"/>
            <w:vMerge w:val="continue"/>
            <w:tcBorders>
              <w:tl2br w:val="nil"/>
              <w:tr2bl w:val="nil"/>
            </w:tcBorders>
            <w:vAlign w:val="center"/>
          </w:tcPr>
          <w:p>
            <w:pPr>
              <w:jc w:val="center"/>
              <w:rPr>
                <w:rFonts w:ascii="仿宋" w:hAnsi="仿宋" w:eastAsia="仿宋" w:cs="仿宋"/>
                <w:lang w:val="zh-CN" w:bidi="zh-CN"/>
              </w:rPr>
            </w:pPr>
          </w:p>
        </w:tc>
        <w:tc>
          <w:tcPr>
            <w:tcW w:w="3960" w:type="dxa"/>
            <w:tcBorders>
              <w:tl2br w:val="nil"/>
              <w:tr2bl w:val="nil"/>
            </w:tcBorders>
            <w:vAlign w:val="center"/>
          </w:tcPr>
          <w:p>
            <w:pPr>
              <w:jc w:val="center"/>
              <w:rPr>
                <w:rFonts w:ascii="仿宋" w:hAnsi="仿宋" w:eastAsia="仿宋" w:cs="仿宋"/>
                <w:lang w:val="zh-CN" w:bidi="zh-CN"/>
              </w:rPr>
            </w:pPr>
            <w:r>
              <w:rPr>
                <w:rFonts w:hint="eastAsia" w:ascii="仿宋" w:hAnsi="仿宋" w:eastAsia="仿宋" w:cs="仿宋"/>
                <w:lang w:val="zh-CN" w:bidi="zh-CN"/>
              </w:rPr>
              <w:t>公共选修课管理办法</w:t>
            </w:r>
          </w:p>
        </w:tc>
      </w:tr>
      <w:tr>
        <w:tblPrEx>
          <w:tblCellMar>
            <w:top w:w="0" w:type="dxa"/>
            <w:left w:w="0" w:type="dxa"/>
            <w:bottom w:w="0" w:type="dxa"/>
            <w:right w:w="0" w:type="dxa"/>
          </w:tblCellMar>
        </w:tblPrEx>
        <w:trPr>
          <w:trHeight w:val="349" w:hRule="atLeast"/>
        </w:trPr>
        <w:tc>
          <w:tcPr>
            <w:tcW w:w="1749" w:type="dxa"/>
            <w:vMerge w:val="restart"/>
            <w:tcBorders>
              <w:tl2br w:val="nil"/>
              <w:tr2bl w:val="nil"/>
            </w:tcBorders>
            <w:vAlign w:val="center"/>
          </w:tcPr>
          <w:p>
            <w:pPr>
              <w:jc w:val="center"/>
              <w:rPr>
                <w:rFonts w:ascii="仿宋" w:hAnsi="仿宋" w:eastAsia="仿宋" w:cs="仿宋"/>
                <w:lang w:val="zh-CN" w:bidi="zh-CN"/>
              </w:rPr>
            </w:pPr>
            <w:r>
              <w:rPr>
                <w:rFonts w:hint="eastAsia" w:ascii="仿宋" w:hAnsi="仿宋" w:eastAsia="仿宋" w:cs="仿宋"/>
                <w:lang w:val="zh-CN" w:bidi="zh-CN"/>
              </w:rPr>
              <w:t>课程发展标准</w:t>
            </w:r>
          </w:p>
        </w:tc>
        <w:tc>
          <w:tcPr>
            <w:tcW w:w="2766" w:type="dxa"/>
            <w:vMerge w:val="restart"/>
            <w:tcBorders>
              <w:tl2br w:val="nil"/>
              <w:tr2bl w:val="nil"/>
            </w:tcBorders>
            <w:vAlign w:val="center"/>
          </w:tcPr>
          <w:p>
            <w:pPr>
              <w:jc w:val="center"/>
              <w:rPr>
                <w:rFonts w:ascii="仿宋" w:hAnsi="仿宋" w:eastAsia="仿宋" w:cs="仿宋"/>
                <w:lang w:val="zh-CN" w:bidi="zh-CN"/>
              </w:rPr>
            </w:pPr>
            <w:r>
              <w:rPr>
                <w:rFonts w:hint="eastAsia" w:ascii="仿宋" w:hAnsi="仿宋" w:eastAsia="仿宋" w:cs="仿宋"/>
                <w:lang w:val="zh-CN" w:bidi="zh-CN"/>
              </w:rPr>
              <w:t>各门课程标准</w:t>
            </w:r>
          </w:p>
        </w:tc>
        <w:tc>
          <w:tcPr>
            <w:tcW w:w="3960" w:type="dxa"/>
            <w:tcBorders>
              <w:tl2br w:val="nil"/>
              <w:tr2bl w:val="nil"/>
            </w:tcBorders>
            <w:vAlign w:val="center"/>
          </w:tcPr>
          <w:p>
            <w:pPr>
              <w:jc w:val="center"/>
              <w:rPr>
                <w:rFonts w:ascii="仿宋" w:hAnsi="仿宋" w:eastAsia="仿宋" w:cs="仿宋"/>
                <w:lang w:val="zh-CN" w:bidi="zh-CN"/>
              </w:rPr>
            </w:pPr>
            <w:r>
              <w:rPr>
                <w:rFonts w:hint="eastAsia" w:ascii="仿宋" w:hAnsi="仿宋" w:eastAsia="仿宋" w:cs="仿宋"/>
                <w:lang w:val="zh-CN" w:bidi="zh-CN"/>
              </w:rPr>
              <w:t>课程教学标准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9" w:hRule="atLeast"/>
        </w:trPr>
        <w:tc>
          <w:tcPr>
            <w:tcW w:w="1749" w:type="dxa"/>
            <w:vMerge w:val="continue"/>
            <w:tcBorders>
              <w:tl2br w:val="nil"/>
              <w:tr2bl w:val="nil"/>
            </w:tcBorders>
            <w:vAlign w:val="center"/>
          </w:tcPr>
          <w:p>
            <w:pPr>
              <w:jc w:val="center"/>
              <w:rPr>
                <w:rFonts w:ascii="仿宋" w:hAnsi="仿宋" w:eastAsia="仿宋" w:cs="仿宋"/>
              </w:rPr>
            </w:pPr>
          </w:p>
        </w:tc>
        <w:tc>
          <w:tcPr>
            <w:tcW w:w="2766" w:type="dxa"/>
            <w:vMerge w:val="continue"/>
            <w:tcBorders>
              <w:tl2br w:val="nil"/>
              <w:tr2bl w:val="nil"/>
            </w:tcBorders>
            <w:vAlign w:val="center"/>
          </w:tcPr>
          <w:p>
            <w:pPr>
              <w:jc w:val="center"/>
              <w:rPr>
                <w:rFonts w:ascii="仿宋" w:hAnsi="仿宋" w:eastAsia="仿宋" w:cs="仿宋"/>
                <w:lang w:val="zh-CN" w:bidi="zh-CN"/>
              </w:rPr>
            </w:pPr>
          </w:p>
        </w:tc>
        <w:tc>
          <w:tcPr>
            <w:tcW w:w="3960" w:type="dxa"/>
            <w:tcBorders>
              <w:tl2br w:val="nil"/>
              <w:tr2bl w:val="nil"/>
            </w:tcBorders>
            <w:vAlign w:val="center"/>
          </w:tcPr>
          <w:p>
            <w:pPr>
              <w:jc w:val="center"/>
              <w:rPr>
                <w:rFonts w:ascii="仿宋" w:hAnsi="仿宋" w:eastAsia="仿宋" w:cs="仿宋"/>
                <w:lang w:val="zh-CN" w:bidi="zh-CN"/>
              </w:rPr>
            </w:pPr>
            <w:r>
              <w:rPr>
                <w:rFonts w:hint="eastAsia" w:ascii="仿宋" w:hAnsi="仿宋" w:eastAsia="仿宋" w:cs="仿宋"/>
                <w:lang w:val="zh-CN" w:bidi="zh-CN"/>
              </w:rPr>
              <w:t>课程教案</w:t>
            </w:r>
          </w:p>
        </w:tc>
      </w:tr>
      <w:tr>
        <w:tblPrEx>
          <w:tblCellMar>
            <w:top w:w="0" w:type="dxa"/>
            <w:left w:w="0" w:type="dxa"/>
            <w:bottom w:w="0" w:type="dxa"/>
            <w:right w:w="0" w:type="dxa"/>
          </w:tblCellMar>
        </w:tblPrEx>
        <w:trPr>
          <w:trHeight w:val="339" w:hRule="atLeast"/>
        </w:trPr>
        <w:tc>
          <w:tcPr>
            <w:tcW w:w="1749" w:type="dxa"/>
            <w:vMerge w:val="continue"/>
            <w:tcBorders>
              <w:tl2br w:val="nil"/>
              <w:tr2bl w:val="nil"/>
            </w:tcBorders>
            <w:vAlign w:val="center"/>
          </w:tcPr>
          <w:p>
            <w:pPr>
              <w:jc w:val="center"/>
              <w:rPr>
                <w:rFonts w:ascii="仿宋" w:hAnsi="仿宋" w:eastAsia="仿宋" w:cs="仿宋"/>
              </w:rPr>
            </w:pPr>
          </w:p>
        </w:tc>
        <w:tc>
          <w:tcPr>
            <w:tcW w:w="2766" w:type="dxa"/>
            <w:vMerge w:val="continue"/>
            <w:tcBorders>
              <w:tl2br w:val="nil"/>
              <w:tr2bl w:val="nil"/>
            </w:tcBorders>
            <w:vAlign w:val="center"/>
          </w:tcPr>
          <w:p>
            <w:pPr>
              <w:jc w:val="center"/>
              <w:rPr>
                <w:rFonts w:ascii="仿宋" w:hAnsi="仿宋" w:eastAsia="仿宋" w:cs="仿宋"/>
                <w:lang w:val="zh-CN" w:bidi="zh-CN"/>
              </w:rPr>
            </w:pPr>
          </w:p>
        </w:tc>
        <w:tc>
          <w:tcPr>
            <w:tcW w:w="3960" w:type="dxa"/>
            <w:tcBorders>
              <w:tl2br w:val="nil"/>
              <w:tr2bl w:val="nil"/>
            </w:tcBorders>
            <w:vAlign w:val="center"/>
          </w:tcPr>
          <w:p>
            <w:pPr>
              <w:jc w:val="center"/>
              <w:rPr>
                <w:rFonts w:ascii="仿宋" w:hAnsi="仿宋" w:eastAsia="仿宋" w:cs="仿宋"/>
                <w:lang w:val="zh-CN" w:bidi="zh-CN"/>
              </w:rPr>
            </w:pPr>
            <w:r>
              <w:rPr>
                <w:rFonts w:hint="eastAsia" w:ascii="仿宋" w:hAnsi="仿宋" w:eastAsia="仿宋" w:cs="仿宋"/>
                <w:lang w:val="zh-CN" w:bidi="zh-CN"/>
              </w:rPr>
              <w:t>授课计划</w:t>
            </w:r>
          </w:p>
        </w:tc>
      </w:tr>
      <w:tr>
        <w:tblPrEx>
          <w:tblCellMar>
            <w:top w:w="0" w:type="dxa"/>
            <w:left w:w="0" w:type="dxa"/>
            <w:bottom w:w="0" w:type="dxa"/>
            <w:right w:w="0" w:type="dxa"/>
          </w:tblCellMar>
        </w:tblPrEx>
        <w:trPr>
          <w:trHeight w:val="339" w:hRule="atLeast"/>
        </w:trPr>
        <w:tc>
          <w:tcPr>
            <w:tcW w:w="1749" w:type="dxa"/>
            <w:vMerge w:val="continue"/>
            <w:tcBorders>
              <w:tl2br w:val="nil"/>
              <w:tr2bl w:val="nil"/>
            </w:tcBorders>
            <w:vAlign w:val="center"/>
          </w:tcPr>
          <w:p>
            <w:pPr>
              <w:jc w:val="center"/>
              <w:rPr>
                <w:rFonts w:ascii="仿宋" w:hAnsi="仿宋" w:eastAsia="仿宋" w:cs="仿宋"/>
              </w:rPr>
            </w:pPr>
          </w:p>
        </w:tc>
        <w:tc>
          <w:tcPr>
            <w:tcW w:w="2766" w:type="dxa"/>
            <w:vMerge w:val="continue"/>
            <w:tcBorders>
              <w:tl2br w:val="nil"/>
              <w:tr2bl w:val="nil"/>
            </w:tcBorders>
            <w:vAlign w:val="center"/>
          </w:tcPr>
          <w:p>
            <w:pPr>
              <w:jc w:val="center"/>
              <w:rPr>
                <w:rFonts w:ascii="仿宋" w:hAnsi="仿宋" w:eastAsia="仿宋" w:cs="仿宋"/>
                <w:lang w:val="zh-CN" w:bidi="zh-CN"/>
              </w:rPr>
            </w:pPr>
          </w:p>
        </w:tc>
        <w:tc>
          <w:tcPr>
            <w:tcW w:w="3960" w:type="dxa"/>
            <w:tcBorders>
              <w:tl2br w:val="nil"/>
              <w:tr2bl w:val="nil"/>
            </w:tcBorders>
            <w:vAlign w:val="center"/>
          </w:tcPr>
          <w:p>
            <w:pPr>
              <w:jc w:val="center"/>
              <w:rPr>
                <w:rFonts w:ascii="仿宋" w:hAnsi="仿宋" w:eastAsia="仿宋" w:cs="仿宋"/>
                <w:lang w:val="zh-CN" w:bidi="zh-CN"/>
              </w:rPr>
            </w:pPr>
            <w:r>
              <w:rPr>
                <w:rFonts w:hint="eastAsia" w:ascii="仿宋" w:hAnsi="仿宋" w:eastAsia="仿宋" w:cs="仿宋"/>
                <w:lang w:val="zh-CN" w:bidi="zh-CN"/>
              </w:rPr>
              <w:t>单元教学设计</w:t>
            </w:r>
          </w:p>
        </w:tc>
      </w:tr>
      <w:tr>
        <w:tblPrEx>
          <w:tblCellMar>
            <w:top w:w="0" w:type="dxa"/>
            <w:left w:w="0" w:type="dxa"/>
            <w:bottom w:w="0" w:type="dxa"/>
            <w:right w:w="0" w:type="dxa"/>
          </w:tblCellMar>
        </w:tblPrEx>
        <w:trPr>
          <w:trHeight w:val="339" w:hRule="atLeast"/>
        </w:trPr>
        <w:tc>
          <w:tcPr>
            <w:tcW w:w="1749" w:type="dxa"/>
            <w:vMerge w:val="continue"/>
            <w:tcBorders>
              <w:tl2br w:val="nil"/>
              <w:tr2bl w:val="nil"/>
            </w:tcBorders>
            <w:vAlign w:val="center"/>
          </w:tcPr>
          <w:p>
            <w:pPr>
              <w:jc w:val="center"/>
              <w:rPr>
                <w:rFonts w:ascii="仿宋" w:hAnsi="仿宋" w:eastAsia="仿宋" w:cs="仿宋"/>
              </w:rPr>
            </w:pPr>
          </w:p>
        </w:tc>
        <w:tc>
          <w:tcPr>
            <w:tcW w:w="2766" w:type="dxa"/>
            <w:vMerge w:val="continue"/>
            <w:tcBorders>
              <w:tl2br w:val="nil"/>
              <w:tr2bl w:val="nil"/>
            </w:tcBorders>
            <w:vAlign w:val="center"/>
          </w:tcPr>
          <w:p>
            <w:pPr>
              <w:jc w:val="center"/>
              <w:rPr>
                <w:rFonts w:ascii="仿宋" w:hAnsi="仿宋" w:eastAsia="仿宋" w:cs="仿宋"/>
                <w:lang w:val="zh-CN" w:bidi="zh-CN"/>
              </w:rPr>
            </w:pPr>
          </w:p>
        </w:tc>
        <w:tc>
          <w:tcPr>
            <w:tcW w:w="3960" w:type="dxa"/>
            <w:tcBorders>
              <w:tl2br w:val="nil"/>
              <w:tr2bl w:val="nil"/>
            </w:tcBorders>
            <w:vAlign w:val="center"/>
          </w:tcPr>
          <w:p>
            <w:pPr>
              <w:jc w:val="center"/>
              <w:rPr>
                <w:rFonts w:ascii="仿宋" w:hAnsi="仿宋" w:eastAsia="仿宋" w:cs="仿宋"/>
                <w:lang w:val="zh-CN" w:bidi="zh-CN"/>
              </w:rPr>
            </w:pPr>
            <w:r>
              <w:rPr>
                <w:rFonts w:hint="eastAsia" w:ascii="仿宋" w:hAnsi="仿宋" w:eastAsia="仿宋" w:cs="仿宋"/>
                <w:lang w:val="zh-CN" w:bidi="zh-CN"/>
              </w:rPr>
              <w:t>课程资源配置标准</w:t>
            </w:r>
          </w:p>
        </w:tc>
      </w:tr>
      <w:tr>
        <w:tblPrEx>
          <w:tblCellMar>
            <w:top w:w="0" w:type="dxa"/>
            <w:left w:w="0" w:type="dxa"/>
            <w:bottom w:w="0" w:type="dxa"/>
            <w:right w:w="0" w:type="dxa"/>
          </w:tblCellMar>
        </w:tblPrEx>
        <w:trPr>
          <w:trHeight w:val="351" w:hRule="atLeast"/>
        </w:trPr>
        <w:tc>
          <w:tcPr>
            <w:tcW w:w="1749" w:type="dxa"/>
            <w:vMerge w:val="continue"/>
            <w:tcBorders>
              <w:tl2br w:val="nil"/>
              <w:tr2bl w:val="nil"/>
            </w:tcBorders>
            <w:vAlign w:val="center"/>
          </w:tcPr>
          <w:p>
            <w:pPr>
              <w:jc w:val="center"/>
              <w:rPr>
                <w:rFonts w:ascii="仿宋" w:hAnsi="仿宋" w:eastAsia="仿宋" w:cs="仿宋"/>
              </w:rPr>
            </w:pPr>
          </w:p>
        </w:tc>
        <w:tc>
          <w:tcPr>
            <w:tcW w:w="2766" w:type="dxa"/>
            <w:vMerge w:val="continue"/>
            <w:tcBorders>
              <w:tl2br w:val="nil"/>
              <w:tr2bl w:val="nil"/>
            </w:tcBorders>
            <w:vAlign w:val="center"/>
          </w:tcPr>
          <w:p>
            <w:pPr>
              <w:jc w:val="center"/>
              <w:rPr>
                <w:rFonts w:ascii="仿宋" w:hAnsi="仿宋" w:eastAsia="仿宋" w:cs="仿宋"/>
                <w:lang w:val="zh-CN" w:bidi="zh-CN"/>
              </w:rPr>
            </w:pPr>
          </w:p>
        </w:tc>
        <w:tc>
          <w:tcPr>
            <w:tcW w:w="3960" w:type="dxa"/>
            <w:tcBorders>
              <w:tl2br w:val="nil"/>
              <w:tr2bl w:val="nil"/>
            </w:tcBorders>
            <w:vAlign w:val="center"/>
          </w:tcPr>
          <w:p>
            <w:pPr>
              <w:jc w:val="center"/>
              <w:rPr>
                <w:rFonts w:ascii="仿宋" w:hAnsi="仿宋" w:eastAsia="仿宋" w:cs="仿宋"/>
                <w:lang w:val="zh-CN" w:bidi="zh-CN"/>
              </w:rPr>
            </w:pPr>
            <w:r>
              <w:rPr>
                <w:rFonts w:hint="eastAsia" w:ascii="仿宋" w:hAnsi="仿宋" w:eastAsia="仿宋" w:cs="仿宋"/>
                <w:lang w:val="zh-CN" w:bidi="zh-CN"/>
              </w:rPr>
              <w:t>课程考核标准</w:t>
            </w:r>
          </w:p>
        </w:tc>
      </w:tr>
    </w:tbl>
    <w:p>
      <w:pPr>
        <w:adjustRightInd w:val="0"/>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实施教师全面发展标准。根据师资队伍建设目标，构建包含教师任职标准、教师发展标准、企业兼职教师标准三类教师发展基本标准，搭建教师职业成长发展平台，推进高水平师资队伍建设。教师个人依据教师全面发展标准，结合自身发展的不同阶段，确定自身发展方向，制定适合自身特点的发展标准。具体内容见教师全面发展标准一览表。</w:t>
      </w:r>
    </w:p>
    <w:p>
      <w:pPr>
        <w:adjustRightInd w:val="0"/>
        <w:spacing w:line="540" w:lineRule="exact"/>
        <w:jc w:val="center"/>
        <w:rPr>
          <w:rFonts w:ascii="仿宋" w:hAnsi="仿宋" w:eastAsia="仿宋" w:cs="仿宋"/>
          <w:szCs w:val="21"/>
        </w:rPr>
      </w:pPr>
      <w:r>
        <w:rPr>
          <w:rFonts w:hint="eastAsia" w:ascii="仿宋" w:hAnsi="仿宋" w:eastAsia="仿宋" w:cs="仿宋"/>
          <w:sz w:val="28"/>
          <w:szCs w:val="28"/>
        </w:rPr>
        <w:t>教师全面发展标准一览表</w:t>
      </w:r>
    </w:p>
    <w:tbl>
      <w:tblPr>
        <w:tblStyle w:val="16"/>
        <w:tblW w:w="8427" w:type="dxa"/>
        <w:tblInd w:w="-6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920"/>
        <w:gridCol w:w="2293"/>
        <w:gridCol w:w="421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1" w:hRule="atLeast"/>
        </w:trPr>
        <w:tc>
          <w:tcPr>
            <w:tcW w:w="1920" w:type="dxa"/>
            <w:tcBorders>
              <w:tl2br w:val="nil"/>
              <w:tr2bl w:val="nil"/>
            </w:tcBorders>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层面</w:t>
            </w:r>
          </w:p>
        </w:tc>
        <w:tc>
          <w:tcPr>
            <w:tcW w:w="2293" w:type="dxa"/>
            <w:tcBorders>
              <w:tl2br w:val="nil"/>
              <w:tr2bl w:val="nil"/>
            </w:tcBorders>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标准名称</w:t>
            </w:r>
          </w:p>
        </w:tc>
        <w:tc>
          <w:tcPr>
            <w:tcW w:w="4214" w:type="dxa"/>
            <w:tcBorders>
              <w:tl2br w:val="nil"/>
              <w:tr2bl w:val="nil"/>
            </w:tcBorders>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标准内容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9" w:hRule="atLeast"/>
        </w:trPr>
        <w:tc>
          <w:tcPr>
            <w:tcW w:w="1920" w:type="dxa"/>
            <w:vMerge w:val="restart"/>
            <w:tcBorders>
              <w:tl2br w:val="nil"/>
              <w:tr2bl w:val="nil"/>
            </w:tcBorders>
            <w:vAlign w:val="center"/>
          </w:tcPr>
          <w:p>
            <w:pPr>
              <w:jc w:val="center"/>
              <w:rPr>
                <w:rFonts w:ascii="仿宋" w:hAnsi="仿宋" w:eastAsia="仿宋" w:cs="仿宋"/>
                <w:b/>
                <w:bCs/>
                <w:lang w:val="zh-CN" w:bidi="zh-CN"/>
              </w:rPr>
            </w:pPr>
            <w:r>
              <w:rPr>
                <w:rFonts w:hint="eastAsia" w:ascii="仿宋" w:hAnsi="仿宋" w:eastAsia="仿宋" w:cs="仿宋"/>
                <w:b/>
                <w:bCs/>
                <w:lang w:val="zh-CN" w:bidi="zh-CN"/>
              </w:rPr>
              <w:t>教师发展基本标准</w:t>
            </w:r>
          </w:p>
        </w:tc>
        <w:tc>
          <w:tcPr>
            <w:tcW w:w="2293" w:type="dxa"/>
            <w:vMerge w:val="restart"/>
            <w:tcBorders>
              <w:tl2br w:val="nil"/>
              <w:tr2bl w:val="nil"/>
            </w:tcBorders>
            <w:vAlign w:val="center"/>
          </w:tcPr>
          <w:p>
            <w:pPr>
              <w:jc w:val="center"/>
              <w:rPr>
                <w:rFonts w:ascii="仿宋" w:hAnsi="仿宋" w:eastAsia="仿宋" w:cs="仿宋"/>
                <w:lang w:val="zh-CN" w:bidi="zh-CN"/>
              </w:rPr>
            </w:pPr>
            <w:r>
              <w:rPr>
                <w:rFonts w:hint="eastAsia" w:ascii="仿宋" w:hAnsi="仿宋" w:eastAsia="仿宋" w:cs="仿宋"/>
                <w:lang w:val="zh-CN" w:bidi="zh-CN"/>
              </w:rPr>
              <w:t>教师任职标准</w:t>
            </w:r>
          </w:p>
        </w:tc>
        <w:tc>
          <w:tcPr>
            <w:tcW w:w="4214" w:type="dxa"/>
            <w:tcBorders>
              <w:tl2br w:val="nil"/>
              <w:tr2bl w:val="nil"/>
            </w:tcBorders>
            <w:vAlign w:val="center"/>
          </w:tcPr>
          <w:p>
            <w:pPr>
              <w:jc w:val="center"/>
              <w:rPr>
                <w:rFonts w:ascii="仿宋" w:hAnsi="仿宋" w:eastAsia="仿宋" w:cs="仿宋"/>
                <w:lang w:val="zh-CN" w:bidi="zh-CN"/>
              </w:rPr>
            </w:pPr>
            <w:r>
              <w:rPr>
                <w:rFonts w:hint="eastAsia" w:ascii="仿宋" w:hAnsi="仿宋" w:eastAsia="仿宋" w:cs="仿宋"/>
                <w:lang w:val="zh-CN" w:bidi="zh-CN"/>
              </w:rPr>
              <w:t>教师职业道德规范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9" w:hRule="atLeast"/>
        </w:trPr>
        <w:tc>
          <w:tcPr>
            <w:tcW w:w="1920" w:type="dxa"/>
            <w:vMerge w:val="continue"/>
            <w:tcBorders>
              <w:tl2br w:val="nil"/>
              <w:tr2bl w:val="nil"/>
            </w:tcBorders>
            <w:vAlign w:val="center"/>
          </w:tcPr>
          <w:p>
            <w:pPr>
              <w:jc w:val="center"/>
              <w:rPr>
                <w:rFonts w:ascii="仿宋" w:hAnsi="仿宋" w:eastAsia="仿宋" w:cs="仿宋"/>
                <w:b/>
                <w:bCs/>
              </w:rPr>
            </w:pPr>
          </w:p>
        </w:tc>
        <w:tc>
          <w:tcPr>
            <w:tcW w:w="2293" w:type="dxa"/>
            <w:vMerge w:val="continue"/>
            <w:tcBorders>
              <w:tl2br w:val="nil"/>
              <w:tr2bl w:val="nil"/>
            </w:tcBorders>
            <w:vAlign w:val="center"/>
          </w:tcPr>
          <w:p>
            <w:pPr>
              <w:jc w:val="center"/>
              <w:rPr>
                <w:rFonts w:ascii="仿宋" w:hAnsi="仿宋" w:eastAsia="仿宋" w:cs="仿宋"/>
              </w:rPr>
            </w:pPr>
          </w:p>
        </w:tc>
        <w:tc>
          <w:tcPr>
            <w:tcW w:w="4214" w:type="dxa"/>
            <w:tcBorders>
              <w:tl2br w:val="nil"/>
              <w:tr2bl w:val="nil"/>
            </w:tcBorders>
            <w:vAlign w:val="center"/>
          </w:tcPr>
          <w:p>
            <w:pPr>
              <w:jc w:val="center"/>
              <w:rPr>
                <w:rFonts w:ascii="仿宋" w:hAnsi="仿宋" w:eastAsia="仿宋" w:cs="仿宋"/>
                <w:lang w:val="zh-CN" w:bidi="zh-CN"/>
              </w:rPr>
            </w:pPr>
            <w:r>
              <w:rPr>
                <w:rFonts w:hint="eastAsia" w:ascii="仿宋" w:hAnsi="仿宋" w:eastAsia="仿宋" w:cs="仿宋"/>
                <w:lang w:val="zh-CN" w:bidi="zh-CN"/>
              </w:rPr>
              <w:t>新教师入职标准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9" w:hRule="atLeast"/>
        </w:trPr>
        <w:tc>
          <w:tcPr>
            <w:tcW w:w="1920" w:type="dxa"/>
            <w:vMerge w:val="continue"/>
            <w:tcBorders>
              <w:tl2br w:val="nil"/>
              <w:tr2bl w:val="nil"/>
            </w:tcBorders>
            <w:vAlign w:val="center"/>
          </w:tcPr>
          <w:p>
            <w:pPr>
              <w:jc w:val="center"/>
              <w:rPr>
                <w:rFonts w:ascii="仿宋" w:hAnsi="仿宋" w:eastAsia="仿宋" w:cs="仿宋"/>
                <w:b/>
                <w:bCs/>
              </w:rPr>
            </w:pPr>
          </w:p>
        </w:tc>
        <w:tc>
          <w:tcPr>
            <w:tcW w:w="2293" w:type="dxa"/>
            <w:vMerge w:val="continue"/>
            <w:tcBorders>
              <w:tl2br w:val="nil"/>
              <w:tr2bl w:val="nil"/>
            </w:tcBorders>
            <w:vAlign w:val="center"/>
          </w:tcPr>
          <w:p>
            <w:pPr>
              <w:jc w:val="center"/>
              <w:rPr>
                <w:rFonts w:ascii="仿宋" w:hAnsi="仿宋" w:eastAsia="仿宋" w:cs="仿宋"/>
              </w:rPr>
            </w:pPr>
          </w:p>
        </w:tc>
        <w:tc>
          <w:tcPr>
            <w:tcW w:w="4214" w:type="dxa"/>
            <w:tcBorders>
              <w:tl2br w:val="nil"/>
              <w:tr2bl w:val="nil"/>
            </w:tcBorders>
            <w:vAlign w:val="center"/>
          </w:tcPr>
          <w:p>
            <w:pPr>
              <w:jc w:val="center"/>
              <w:rPr>
                <w:rFonts w:ascii="仿宋" w:hAnsi="仿宋" w:eastAsia="仿宋" w:cs="仿宋"/>
                <w:lang w:val="zh-CN" w:bidi="zh-CN"/>
              </w:rPr>
            </w:pPr>
            <w:r>
              <w:rPr>
                <w:rFonts w:hint="eastAsia" w:ascii="仿宋" w:hAnsi="仿宋" w:eastAsia="仿宋" w:cs="仿宋"/>
                <w:lang w:val="zh-CN" w:bidi="zh-CN"/>
              </w:rPr>
              <w:t>双师素质教师标准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2" w:hRule="atLeast"/>
        </w:trPr>
        <w:tc>
          <w:tcPr>
            <w:tcW w:w="1920" w:type="dxa"/>
            <w:vMerge w:val="continue"/>
            <w:tcBorders>
              <w:tl2br w:val="nil"/>
              <w:tr2bl w:val="nil"/>
            </w:tcBorders>
            <w:vAlign w:val="center"/>
          </w:tcPr>
          <w:p>
            <w:pPr>
              <w:jc w:val="center"/>
              <w:rPr>
                <w:rFonts w:ascii="仿宋" w:hAnsi="仿宋" w:eastAsia="仿宋" w:cs="仿宋"/>
                <w:b/>
                <w:bCs/>
              </w:rPr>
            </w:pPr>
          </w:p>
        </w:tc>
        <w:tc>
          <w:tcPr>
            <w:tcW w:w="2293" w:type="dxa"/>
            <w:vMerge w:val="continue"/>
            <w:tcBorders>
              <w:tl2br w:val="nil"/>
              <w:tr2bl w:val="nil"/>
            </w:tcBorders>
            <w:vAlign w:val="center"/>
          </w:tcPr>
          <w:p>
            <w:pPr>
              <w:jc w:val="center"/>
              <w:rPr>
                <w:rFonts w:ascii="仿宋" w:hAnsi="仿宋" w:eastAsia="仿宋" w:cs="仿宋"/>
              </w:rPr>
            </w:pPr>
          </w:p>
        </w:tc>
        <w:tc>
          <w:tcPr>
            <w:tcW w:w="4214" w:type="dxa"/>
            <w:tcBorders>
              <w:tl2br w:val="nil"/>
              <w:tr2bl w:val="nil"/>
            </w:tcBorders>
            <w:vAlign w:val="center"/>
          </w:tcPr>
          <w:p>
            <w:pPr>
              <w:jc w:val="center"/>
              <w:rPr>
                <w:rFonts w:ascii="仿宋" w:hAnsi="仿宋" w:eastAsia="仿宋" w:cs="仿宋"/>
                <w:lang w:val="zh-CN" w:bidi="zh-CN"/>
              </w:rPr>
            </w:pPr>
            <w:r>
              <w:rPr>
                <w:rFonts w:hint="eastAsia" w:ascii="仿宋" w:hAnsi="仿宋" w:eastAsia="仿宋" w:cs="仿宋"/>
                <w:lang w:val="zh-CN" w:bidi="zh-CN"/>
              </w:rPr>
              <w:t>骨干教师标准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9" w:hRule="atLeast"/>
        </w:trPr>
        <w:tc>
          <w:tcPr>
            <w:tcW w:w="1920" w:type="dxa"/>
            <w:vMerge w:val="continue"/>
            <w:tcBorders>
              <w:tl2br w:val="nil"/>
              <w:tr2bl w:val="nil"/>
            </w:tcBorders>
            <w:vAlign w:val="center"/>
          </w:tcPr>
          <w:p>
            <w:pPr>
              <w:jc w:val="center"/>
              <w:rPr>
                <w:rFonts w:ascii="仿宋" w:hAnsi="仿宋" w:eastAsia="仿宋" w:cs="仿宋"/>
                <w:b/>
                <w:bCs/>
              </w:rPr>
            </w:pPr>
          </w:p>
        </w:tc>
        <w:tc>
          <w:tcPr>
            <w:tcW w:w="2293" w:type="dxa"/>
            <w:vMerge w:val="continue"/>
            <w:tcBorders>
              <w:tl2br w:val="nil"/>
              <w:tr2bl w:val="nil"/>
            </w:tcBorders>
            <w:vAlign w:val="center"/>
          </w:tcPr>
          <w:p>
            <w:pPr>
              <w:jc w:val="center"/>
              <w:rPr>
                <w:rFonts w:ascii="仿宋" w:hAnsi="仿宋" w:eastAsia="仿宋" w:cs="仿宋"/>
              </w:rPr>
            </w:pPr>
          </w:p>
        </w:tc>
        <w:tc>
          <w:tcPr>
            <w:tcW w:w="4214" w:type="dxa"/>
            <w:tcBorders>
              <w:tl2br w:val="nil"/>
              <w:tr2bl w:val="nil"/>
            </w:tcBorders>
            <w:vAlign w:val="center"/>
          </w:tcPr>
          <w:p>
            <w:pPr>
              <w:jc w:val="center"/>
              <w:rPr>
                <w:rFonts w:ascii="仿宋" w:hAnsi="仿宋" w:eastAsia="仿宋" w:cs="仿宋"/>
                <w:lang w:val="zh-CN" w:bidi="zh-CN"/>
              </w:rPr>
            </w:pPr>
            <w:r>
              <w:rPr>
                <w:rFonts w:hint="eastAsia" w:ascii="仿宋" w:hAnsi="仿宋" w:eastAsia="仿宋" w:cs="仿宋"/>
                <w:lang w:val="zh-CN" w:bidi="zh-CN"/>
              </w:rPr>
              <w:t>专业带头人标准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9" w:hRule="atLeast"/>
        </w:trPr>
        <w:tc>
          <w:tcPr>
            <w:tcW w:w="1920" w:type="dxa"/>
            <w:vMerge w:val="continue"/>
            <w:tcBorders>
              <w:tl2br w:val="nil"/>
              <w:tr2bl w:val="nil"/>
            </w:tcBorders>
            <w:vAlign w:val="center"/>
          </w:tcPr>
          <w:p>
            <w:pPr>
              <w:jc w:val="center"/>
              <w:rPr>
                <w:rFonts w:ascii="仿宋" w:hAnsi="仿宋" w:eastAsia="仿宋" w:cs="仿宋"/>
                <w:b/>
                <w:bCs/>
              </w:rPr>
            </w:pPr>
          </w:p>
        </w:tc>
        <w:tc>
          <w:tcPr>
            <w:tcW w:w="2293" w:type="dxa"/>
            <w:vMerge w:val="continue"/>
            <w:tcBorders>
              <w:tl2br w:val="nil"/>
              <w:tr2bl w:val="nil"/>
            </w:tcBorders>
            <w:vAlign w:val="center"/>
          </w:tcPr>
          <w:p>
            <w:pPr>
              <w:jc w:val="center"/>
              <w:rPr>
                <w:rFonts w:ascii="仿宋" w:hAnsi="仿宋" w:eastAsia="仿宋" w:cs="仿宋"/>
              </w:rPr>
            </w:pPr>
          </w:p>
        </w:tc>
        <w:tc>
          <w:tcPr>
            <w:tcW w:w="4214" w:type="dxa"/>
            <w:tcBorders>
              <w:tl2br w:val="nil"/>
              <w:tr2bl w:val="nil"/>
            </w:tcBorders>
            <w:vAlign w:val="center"/>
          </w:tcPr>
          <w:p>
            <w:pPr>
              <w:jc w:val="center"/>
              <w:rPr>
                <w:rFonts w:ascii="仿宋" w:hAnsi="仿宋" w:eastAsia="仿宋" w:cs="仿宋"/>
                <w:lang w:val="zh-CN" w:bidi="zh-CN"/>
              </w:rPr>
            </w:pPr>
            <w:r>
              <w:rPr>
                <w:rFonts w:hint="eastAsia" w:ascii="仿宋" w:hAnsi="仿宋" w:eastAsia="仿宋" w:cs="仿宋"/>
                <w:lang w:val="zh-CN" w:bidi="zh-CN"/>
              </w:rPr>
              <w:t>领军人才标准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1920" w:type="dxa"/>
            <w:vMerge w:val="continue"/>
            <w:tcBorders>
              <w:tl2br w:val="nil"/>
              <w:tr2bl w:val="nil"/>
            </w:tcBorders>
            <w:vAlign w:val="center"/>
          </w:tcPr>
          <w:p>
            <w:pPr>
              <w:jc w:val="center"/>
              <w:rPr>
                <w:rFonts w:ascii="仿宋" w:hAnsi="仿宋" w:eastAsia="仿宋" w:cs="仿宋"/>
                <w:b/>
                <w:bCs/>
              </w:rPr>
            </w:pPr>
          </w:p>
        </w:tc>
        <w:tc>
          <w:tcPr>
            <w:tcW w:w="2293" w:type="dxa"/>
            <w:vMerge w:val="restart"/>
            <w:tcBorders>
              <w:tl2br w:val="nil"/>
              <w:tr2bl w:val="nil"/>
            </w:tcBorders>
            <w:vAlign w:val="center"/>
          </w:tcPr>
          <w:p>
            <w:pPr>
              <w:jc w:val="center"/>
              <w:rPr>
                <w:rFonts w:ascii="仿宋" w:hAnsi="仿宋" w:eastAsia="仿宋" w:cs="仿宋"/>
                <w:lang w:val="zh-CN" w:bidi="zh-CN"/>
              </w:rPr>
            </w:pPr>
            <w:r>
              <w:rPr>
                <w:rFonts w:hint="eastAsia" w:ascii="仿宋" w:hAnsi="仿宋" w:eastAsia="仿宋" w:cs="仿宋"/>
                <w:lang w:val="zh-CN" w:bidi="zh-CN"/>
              </w:rPr>
              <w:t>教师发展标准</w:t>
            </w:r>
          </w:p>
        </w:tc>
        <w:tc>
          <w:tcPr>
            <w:tcW w:w="4214" w:type="dxa"/>
            <w:tcBorders>
              <w:tl2br w:val="nil"/>
              <w:tr2bl w:val="nil"/>
            </w:tcBorders>
            <w:vAlign w:val="center"/>
          </w:tcPr>
          <w:p>
            <w:pPr>
              <w:jc w:val="center"/>
              <w:rPr>
                <w:rFonts w:ascii="仿宋" w:hAnsi="仿宋" w:eastAsia="仿宋" w:cs="仿宋"/>
                <w:lang w:val="zh-CN" w:bidi="zh-CN"/>
              </w:rPr>
            </w:pPr>
            <w:r>
              <w:rPr>
                <w:rFonts w:hint="eastAsia" w:ascii="仿宋" w:hAnsi="仿宋" w:eastAsia="仿宋" w:cs="仿宋"/>
                <w:lang w:val="zh-CN" w:bidi="zh-CN"/>
              </w:rPr>
              <w:t>未定职教师标准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1920" w:type="dxa"/>
            <w:vMerge w:val="continue"/>
            <w:tcBorders>
              <w:tl2br w:val="nil"/>
              <w:tr2bl w:val="nil"/>
            </w:tcBorders>
            <w:vAlign w:val="center"/>
          </w:tcPr>
          <w:p>
            <w:pPr>
              <w:jc w:val="center"/>
              <w:rPr>
                <w:rFonts w:ascii="仿宋" w:hAnsi="仿宋" w:eastAsia="仿宋" w:cs="仿宋"/>
                <w:b/>
                <w:bCs/>
              </w:rPr>
            </w:pPr>
          </w:p>
        </w:tc>
        <w:tc>
          <w:tcPr>
            <w:tcW w:w="2293" w:type="dxa"/>
            <w:vMerge w:val="continue"/>
            <w:tcBorders>
              <w:tl2br w:val="nil"/>
              <w:tr2bl w:val="nil"/>
            </w:tcBorders>
            <w:vAlign w:val="center"/>
          </w:tcPr>
          <w:p>
            <w:pPr>
              <w:jc w:val="center"/>
              <w:rPr>
                <w:rFonts w:ascii="仿宋" w:hAnsi="仿宋" w:eastAsia="仿宋" w:cs="仿宋"/>
              </w:rPr>
            </w:pPr>
          </w:p>
        </w:tc>
        <w:tc>
          <w:tcPr>
            <w:tcW w:w="4214" w:type="dxa"/>
            <w:tcBorders>
              <w:tl2br w:val="nil"/>
              <w:tr2bl w:val="nil"/>
            </w:tcBorders>
            <w:vAlign w:val="center"/>
          </w:tcPr>
          <w:p>
            <w:pPr>
              <w:jc w:val="center"/>
              <w:rPr>
                <w:rFonts w:ascii="仿宋" w:hAnsi="仿宋" w:eastAsia="仿宋" w:cs="仿宋"/>
                <w:lang w:val="zh-CN" w:bidi="zh-CN"/>
              </w:rPr>
            </w:pPr>
            <w:r>
              <w:rPr>
                <w:rFonts w:hint="eastAsia" w:ascii="仿宋" w:hAnsi="仿宋" w:eastAsia="仿宋" w:cs="仿宋"/>
                <w:lang w:val="zh-CN" w:bidi="zh-CN"/>
              </w:rPr>
              <w:t>助教标准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4" w:hRule="atLeast"/>
        </w:trPr>
        <w:tc>
          <w:tcPr>
            <w:tcW w:w="1920" w:type="dxa"/>
            <w:vMerge w:val="continue"/>
            <w:tcBorders>
              <w:tl2br w:val="nil"/>
              <w:tr2bl w:val="nil"/>
            </w:tcBorders>
            <w:vAlign w:val="center"/>
          </w:tcPr>
          <w:p>
            <w:pPr>
              <w:jc w:val="center"/>
              <w:rPr>
                <w:rFonts w:ascii="仿宋" w:hAnsi="仿宋" w:eastAsia="仿宋" w:cs="仿宋"/>
                <w:b/>
                <w:bCs/>
              </w:rPr>
            </w:pPr>
          </w:p>
        </w:tc>
        <w:tc>
          <w:tcPr>
            <w:tcW w:w="2293" w:type="dxa"/>
            <w:vMerge w:val="continue"/>
            <w:tcBorders>
              <w:tl2br w:val="nil"/>
              <w:tr2bl w:val="nil"/>
            </w:tcBorders>
            <w:vAlign w:val="center"/>
          </w:tcPr>
          <w:p>
            <w:pPr>
              <w:jc w:val="center"/>
              <w:rPr>
                <w:rFonts w:ascii="仿宋" w:hAnsi="仿宋" w:eastAsia="仿宋" w:cs="仿宋"/>
              </w:rPr>
            </w:pPr>
          </w:p>
        </w:tc>
        <w:tc>
          <w:tcPr>
            <w:tcW w:w="4214" w:type="dxa"/>
            <w:tcBorders>
              <w:tl2br w:val="nil"/>
              <w:tr2bl w:val="nil"/>
            </w:tcBorders>
            <w:vAlign w:val="center"/>
          </w:tcPr>
          <w:p>
            <w:pPr>
              <w:jc w:val="center"/>
              <w:rPr>
                <w:rFonts w:ascii="仿宋" w:hAnsi="仿宋" w:eastAsia="仿宋" w:cs="仿宋"/>
                <w:lang w:val="zh-CN" w:bidi="zh-CN"/>
              </w:rPr>
            </w:pPr>
            <w:r>
              <w:rPr>
                <w:rFonts w:hint="eastAsia" w:ascii="仿宋" w:hAnsi="仿宋" w:eastAsia="仿宋" w:cs="仿宋"/>
                <w:lang w:val="zh-CN" w:bidi="zh-CN"/>
              </w:rPr>
              <w:t>讲师标准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1920" w:type="dxa"/>
            <w:vMerge w:val="continue"/>
            <w:tcBorders>
              <w:tl2br w:val="nil"/>
              <w:tr2bl w:val="nil"/>
            </w:tcBorders>
            <w:vAlign w:val="center"/>
          </w:tcPr>
          <w:p>
            <w:pPr>
              <w:jc w:val="center"/>
              <w:rPr>
                <w:rFonts w:ascii="仿宋" w:hAnsi="仿宋" w:eastAsia="仿宋" w:cs="仿宋"/>
                <w:b/>
                <w:bCs/>
              </w:rPr>
            </w:pPr>
          </w:p>
        </w:tc>
        <w:tc>
          <w:tcPr>
            <w:tcW w:w="2293" w:type="dxa"/>
            <w:vMerge w:val="continue"/>
            <w:tcBorders>
              <w:tl2br w:val="nil"/>
              <w:tr2bl w:val="nil"/>
            </w:tcBorders>
            <w:vAlign w:val="center"/>
          </w:tcPr>
          <w:p>
            <w:pPr>
              <w:jc w:val="center"/>
              <w:rPr>
                <w:rFonts w:ascii="仿宋" w:hAnsi="仿宋" w:eastAsia="仿宋" w:cs="仿宋"/>
              </w:rPr>
            </w:pPr>
          </w:p>
        </w:tc>
        <w:tc>
          <w:tcPr>
            <w:tcW w:w="4214" w:type="dxa"/>
            <w:tcBorders>
              <w:tl2br w:val="nil"/>
              <w:tr2bl w:val="nil"/>
            </w:tcBorders>
            <w:vAlign w:val="center"/>
          </w:tcPr>
          <w:p>
            <w:pPr>
              <w:jc w:val="center"/>
              <w:rPr>
                <w:rFonts w:ascii="仿宋" w:hAnsi="仿宋" w:eastAsia="仿宋" w:cs="仿宋"/>
                <w:lang w:val="zh-CN" w:bidi="zh-CN"/>
              </w:rPr>
            </w:pPr>
            <w:r>
              <w:rPr>
                <w:rFonts w:hint="eastAsia" w:ascii="仿宋" w:hAnsi="仿宋" w:eastAsia="仿宋" w:cs="仿宋"/>
                <w:lang w:val="zh-CN" w:bidi="zh-CN"/>
              </w:rPr>
              <w:t>副教授标准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1920" w:type="dxa"/>
            <w:vMerge w:val="continue"/>
            <w:tcBorders>
              <w:tl2br w:val="nil"/>
              <w:tr2bl w:val="nil"/>
            </w:tcBorders>
            <w:vAlign w:val="center"/>
          </w:tcPr>
          <w:p>
            <w:pPr>
              <w:jc w:val="center"/>
              <w:rPr>
                <w:rFonts w:ascii="仿宋" w:hAnsi="仿宋" w:eastAsia="仿宋" w:cs="仿宋"/>
                <w:b/>
                <w:bCs/>
              </w:rPr>
            </w:pPr>
          </w:p>
        </w:tc>
        <w:tc>
          <w:tcPr>
            <w:tcW w:w="2293" w:type="dxa"/>
            <w:vMerge w:val="continue"/>
            <w:tcBorders>
              <w:tl2br w:val="nil"/>
              <w:tr2bl w:val="nil"/>
            </w:tcBorders>
            <w:vAlign w:val="center"/>
          </w:tcPr>
          <w:p>
            <w:pPr>
              <w:jc w:val="center"/>
              <w:rPr>
                <w:rFonts w:ascii="仿宋" w:hAnsi="仿宋" w:eastAsia="仿宋" w:cs="仿宋"/>
              </w:rPr>
            </w:pPr>
          </w:p>
        </w:tc>
        <w:tc>
          <w:tcPr>
            <w:tcW w:w="4214" w:type="dxa"/>
            <w:tcBorders>
              <w:tl2br w:val="nil"/>
              <w:tr2bl w:val="nil"/>
            </w:tcBorders>
            <w:vAlign w:val="center"/>
          </w:tcPr>
          <w:p>
            <w:pPr>
              <w:jc w:val="center"/>
              <w:rPr>
                <w:rFonts w:ascii="仿宋" w:hAnsi="仿宋" w:eastAsia="仿宋" w:cs="仿宋"/>
                <w:lang w:val="zh-CN" w:bidi="zh-CN"/>
              </w:rPr>
            </w:pPr>
            <w:r>
              <w:rPr>
                <w:rFonts w:hint="eastAsia" w:ascii="仿宋" w:hAnsi="仿宋" w:eastAsia="仿宋" w:cs="仿宋"/>
                <w:lang w:val="zh-CN" w:bidi="zh-CN"/>
              </w:rPr>
              <w:t>教授标准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9" w:hRule="atLeast"/>
        </w:trPr>
        <w:tc>
          <w:tcPr>
            <w:tcW w:w="1920" w:type="dxa"/>
            <w:vMerge w:val="continue"/>
            <w:tcBorders>
              <w:tl2br w:val="nil"/>
              <w:tr2bl w:val="nil"/>
            </w:tcBorders>
            <w:vAlign w:val="center"/>
          </w:tcPr>
          <w:p>
            <w:pPr>
              <w:jc w:val="center"/>
              <w:rPr>
                <w:rFonts w:ascii="仿宋" w:hAnsi="仿宋" w:eastAsia="仿宋" w:cs="仿宋"/>
                <w:b/>
                <w:bCs/>
              </w:rPr>
            </w:pPr>
          </w:p>
        </w:tc>
        <w:tc>
          <w:tcPr>
            <w:tcW w:w="2293" w:type="dxa"/>
            <w:tcBorders>
              <w:tl2br w:val="nil"/>
              <w:tr2bl w:val="nil"/>
            </w:tcBorders>
            <w:vAlign w:val="center"/>
          </w:tcPr>
          <w:p>
            <w:pPr>
              <w:jc w:val="center"/>
              <w:rPr>
                <w:rFonts w:ascii="仿宋" w:hAnsi="仿宋" w:eastAsia="仿宋" w:cs="仿宋"/>
                <w:lang w:val="zh-CN" w:bidi="zh-CN"/>
              </w:rPr>
            </w:pPr>
            <w:r>
              <w:rPr>
                <w:rFonts w:hint="eastAsia" w:ascii="仿宋" w:hAnsi="仿宋" w:eastAsia="仿宋" w:cs="仿宋"/>
                <w:lang w:val="zh-CN" w:bidi="zh-CN"/>
              </w:rPr>
              <w:t>兼职教师标准</w:t>
            </w:r>
          </w:p>
        </w:tc>
        <w:tc>
          <w:tcPr>
            <w:tcW w:w="4214" w:type="dxa"/>
            <w:tcBorders>
              <w:tl2br w:val="nil"/>
              <w:tr2bl w:val="nil"/>
            </w:tcBorders>
            <w:vAlign w:val="center"/>
          </w:tcPr>
          <w:p>
            <w:pPr>
              <w:jc w:val="center"/>
              <w:rPr>
                <w:rFonts w:ascii="仿宋" w:hAnsi="仿宋" w:eastAsia="仿宋" w:cs="仿宋"/>
                <w:lang w:val="zh-CN" w:bidi="zh-CN"/>
              </w:rPr>
            </w:pPr>
            <w:r>
              <w:rPr>
                <w:rFonts w:hint="eastAsia" w:ascii="仿宋" w:hAnsi="仿宋" w:eastAsia="仿宋" w:cs="仿宋"/>
                <w:spacing w:val="-8"/>
                <w:lang w:val="zh-CN" w:bidi="zh-CN"/>
              </w:rPr>
              <w:t>主要包括企业兼职教师任职条件、工作标准、管</w:t>
            </w:r>
            <w:r>
              <w:rPr>
                <w:rFonts w:hint="eastAsia" w:ascii="仿宋" w:hAnsi="仿宋" w:eastAsia="仿宋" w:cs="仿宋"/>
                <w:lang w:val="zh-CN" w:bidi="zh-CN"/>
              </w:rPr>
              <w:t>理办法、考核标准等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1" w:hRule="atLeast"/>
        </w:trPr>
        <w:tc>
          <w:tcPr>
            <w:tcW w:w="1920" w:type="dxa"/>
            <w:tcBorders>
              <w:tl2br w:val="nil"/>
              <w:tr2bl w:val="nil"/>
            </w:tcBorders>
            <w:vAlign w:val="center"/>
          </w:tcPr>
          <w:p>
            <w:pPr>
              <w:jc w:val="center"/>
              <w:rPr>
                <w:rFonts w:ascii="仿宋" w:hAnsi="仿宋" w:eastAsia="仿宋" w:cs="仿宋"/>
                <w:b/>
                <w:bCs/>
                <w:lang w:val="zh-CN" w:bidi="zh-CN"/>
              </w:rPr>
            </w:pPr>
            <w:r>
              <w:rPr>
                <w:rFonts w:hint="eastAsia" w:ascii="仿宋" w:hAnsi="仿宋" w:eastAsia="仿宋" w:cs="仿宋"/>
                <w:b/>
                <w:bCs/>
                <w:lang w:val="zh-CN" w:bidi="zh-CN"/>
              </w:rPr>
              <w:t>教师发展标准</w:t>
            </w:r>
          </w:p>
        </w:tc>
        <w:tc>
          <w:tcPr>
            <w:tcW w:w="2293" w:type="dxa"/>
            <w:tcBorders>
              <w:tl2br w:val="nil"/>
              <w:tr2bl w:val="nil"/>
            </w:tcBorders>
            <w:vAlign w:val="center"/>
          </w:tcPr>
          <w:p>
            <w:pPr>
              <w:jc w:val="center"/>
              <w:rPr>
                <w:rFonts w:ascii="仿宋" w:hAnsi="仿宋" w:eastAsia="仿宋" w:cs="仿宋"/>
                <w:lang w:val="zh-CN" w:bidi="zh-CN"/>
              </w:rPr>
            </w:pPr>
            <w:r>
              <w:rPr>
                <w:rFonts w:hint="eastAsia" w:ascii="仿宋" w:hAnsi="仿宋" w:eastAsia="仿宋" w:cs="仿宋"/>
                <w:lang w:val="zh-CN" w:bidi="zh-CN"/>
              </w:rPr>
              <w:t>个人发展标准</w:t>
            </w:r>
          </w:p>
        </w:tc>
        <w:tc>
          <w:tcPr>
            <w:tcW w:w="4214" w:type="dxa"/>
            <w:tcBorders>
              <w:tl2br w:val="nil"/>
              <w:tr2bl w:val="nil"/>
            </w:tcBorders>
            <w:vAlign w:val="center"/>
          </w:tcPr>
          <w:p>
            <w:pPr>
              <w:jc w:val="center"/>
              <w:rPr>
                <w:rFonts w:ascii="仿宋" w:hAnsi="仿宋" w:eastAsia="仿宋" w:cs="仿宋"/>
                <w:lang w:val="zh-CN" w:bidi="zh-CN"/>
              </w:rPr>
            </w:pPr>
            <w:r>
              <w:rPr>
                <w:rFonts w:hint="eastAsia" w:ascii="仿宋" w:hAnsi="仿宋" w:eastAsia="仿宋" w:cs="仿宋"/>
                <w:lang w:val="zh-CN" w:bidi="zh-CN"/>
              </w:rPr>
              <w:t>教师职业生涯发展规划</w:t>
            </w:r>
          </w:p>
        </w:tc>
      </w:tr>
    </w:tbl>
    <w:p>
      <w:pPr>
        <w:adjustRightInd w:val="0"/>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实施学生全面发展标准。以服务学生全面发展为目标，按照“立德树人、品能合一” 的育人目标，从道德品质、职业技能、发展潜力三个维度，制定学生全面发展标准，完善学生综合素质标准，培养学生可持续发展能力。学生依据自身条件和现有基础，确定个人发展目标标准。学生发展标准具体内容见学生发展标准一览表。</w:t>
      </w:r>
    </w:p>
    <w:p>
      <w:pPr>
        <w:adjustRightInd w:val="0"/>
        <w:spacing w:line="540" w:lineRule="exact"/>
        <w:jc w:val="center"/>
        <w:rPr>
          <w:rFonts w:ascii="仿宋" w:hAnsi="仿宋" w:eastAsia="仿宋" w:cs="仿宋"/>
          <w:szCs w:val="21"/>
        </w:rPr>
      </w:pPr>
      <w:r>
        <w:rPr>
          <w:rFonts w:hint="eastAsia" w:ascii="仿宋" w:hAnsi="仿宋" w:eastAsia="仿宋" w:cs="仿宋"/>
          <w:sz w:val="28"/>
          <w:szCs w:val="28"/>
        </w:rPr>
        <w:t>学生发展标准一览表</w:t>
      </w:r>
    </w:p>
    <w:tbl>
      <w:tblPr>
        <w:tblStyle w:val="16"/>
        <w:tblpPr w:leftFromText="180" w:rightFromText="180" w:vertAnchor="text" w:horzAnchor="page" w:tblpX="2004" w:tblpY="96"/>
        <w:tblOverlap w:val="never"/>
        <w:tblW w:w="8217"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091"/>
        <w:gridCol w:w="2306"/>
        <w:gridCol w:w="382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6" w:hRule="atLeast"/>
        </w:trPr>
        <w:tc>
          <w:tcPr>
            <w:tcW w:w="2091" w:type="dxa"/>
            <w:tcBorders>
              <w:tl2br w:val="nil"/>
              <w:tr2bl w:val="nil"/>
            </w:tcBorders>
            <w:shd w:val="clear" w:color="auto" w:fill="4874CB" w:themeFill="accent1"/>
            <w:vAlign w:val="center"/>
          </w:tcPr>
          <w:p>
            <w:pPr>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层面</w:t>
            </w:r>
          </w:p>
        </w:tc>
        <w:tc>
          <w:tcPr>
            <w:tcW w:w="2306" w:type="dxa"/>
            <w:tcBorders>
              <w:tl2br w:val="nil"/>
              <w:tr2bl w:val="nil"/>
            </w:tcBorders>
            <w:shd w:val="clear" w:color="auto" w:fill="4874CB" w:themeFill="accent1"/>
            <w:vAlign w:val="center"/>
          </w:tcPr>
          <w:p>
            <w:pPr>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标准名称</w:t>
            </w:r>
          </w:p>
        </w:tc>
        <w:tc>
          <w:tcPr>
            <w:tcW w:w="3820" w:type="dxa"/>
            <w:tcBorders>
              <w:tl2br w:val="nil"/>
              <w:tr2bl w:val="nil"/>
            </w:tcBorders>
            <w:shd w:val="clear" w:color="auto" w:fill="4874CB" w:themeFill="accent1"/>
            <w:vAlign w:val="center"/>
          </w:tcPr>
          <w:p>
            <w:pPr>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标准内容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9" w:hRule="atLeast"/>
        </w:trPr>
        <w:tc>
          <w:tcPr>
            <w:tcW w:w="2091" w:type="dxa"/>
            <w:vMerge w:val="restart"/>
            <w:tcBorders>
              <w:tl2br w:val="nil"/>
              <w:tr2bl w:val="nil"/>
            </w:tcBorders>
            <w:vAlign w:val="center"/>
          </w:tcPr>
          <w:p>
            <w:pPr>
              <w:jc w:val="center"/>
              <w:rPr>
                <w:rFonts w:ascii="仿宋" w:hAnsi="仿宋" w:eastAsia="仿宋" w:cs="仿宋"/>
                <w:b/>
                <w:lang w:val="zh-CN" w:bidi="zh-CN"/>
              </w:rPr>
            </w:pPr>
            <w:r>
              <w:rPr>
                <w:rFonts w:hint="eastAsia" w:ascii="仿宋" w:hAnsi="仿宋" w:eastAsia="仿宋" w:cs="仿宋"/>
                <w:b/>
                <w:lang w:val="zh-CN" w:bidi="zh-CN"/>
              </w:rPr>
              <w:t>学生发展基本标准</w:t>
            </w:r>
          </w:p>
        </w:tc>
        <w:tc>
          <w:tcPr>
            <w:tcW w:w="2306" w:type="dxa"/>
            <w:vMerge w:val="restart"/>
            <w:tcBorders>
              <w:tl2br w:val="nil"/>
              <w:tr2bl w:val="nil"/>
            </w:tcBorders>
            <w:vAlign w:val="center"/>
          </w:tcPr>
          <w:p>
            <w:pPr>
              <w:jc w:val="center"/>
              <w:rPr>
                <w:rFonts w:ascii="仿宋" w:hAnsi="仿宋" w:eastAsia="仿宋" w:cs="仿宋"/>
                <w:bCs/>
                <w:lang w:val="zh-CN" w:bidi="zh-CN"/>
              </w:rPr>
            </w:pPr>
            <w:r>
              <w:rPr>
                <w:rFonts w:hint="eastAsia" w:ascii="仿宋" w:hAnsi="仿宋" w:eastAsia="仿宋" w:cs="仿宋"/>
                <w:bCs/>
                <w:lang w:val="zh-CN" w:bidi="zh-CN"/>
              </w:rPr>
              <w:t>道德品质标准</w:t>
            </w:r>
          </w:p>
        </w:tc>
        <w:tc>
          <w:tcPr>
            <w:tcW w:w="3820" w:type="dxa"/>
            <w:tcBorders>
              <w:tl2br w:val="nil"/>
              <w:tr2bl w:val="nil"/>
            </w:tcBorders>
            <w:vAlign w:val="center"/>
          </w:tcPr>
          <w:p>
            <w:pPr>
              <w:jc w:val="center"/>
              <w:rPr>
                <w:rFonts w:ascii="仿宋" w:hAnsi="仿宋" w:eastAsia="仿宋" w:cs="仿宋"/>
                <w:bCs/>
                <w:lang w:val="zh-CN" w:bidi="zh-CN"/>
              </w:rPr>
            </w:pPr>
            <w:r>
              <w:rPr>
                <w:rFonts w:hint="eastAsia" w:ascii="仿宋" w:hAnsi="仿宋" w:eastAsia="仿宋" w:cs="仿宋"/>
                <w:bCs/>
                <w:lang w:val="zh-CN" w:bidi="zh-CN"/>
              </w:rPr>
              <w:t>思想政治素质标准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9" w:hRule="atLeast"/>
        </w:trPr>
        <w:tc>
          <w:tcPr>
            <w:tcW w:w="2091" w:type="dxa"/>
            <w:vMerge w:val="continue"/>
            <w:tcBorders>
              <w:tl2br w:val="nil"/>
              <w:tr2bl w:val="nil"/>
            </w:tcBorders>
            <w:vAlign w:val="center"/>
          </w:tcPr>
          <w:p>
            <w:pPr>
              <w:jc w:val="center"/>
              <w:rPr>
                <w:rFonts w:ascii="仿宋" w:hAnsi="仿宋" w:eastAsia="仿宋" w:cs="仿宋"/>
                <w:b/>
              </w:rPr>
            </w:pPr>
          </w:p>
        </w:tc>
        <w:tc>
          <w:tcPr>
            <w:tcW w:w="2306" w:type="dxa"/>
            <w:vMerge w:val="continue"/>
            <w:tcBorders>
              <w:tl2br w:val="nil"/>
              <w:tr2bl w:val="nil"/>
            </w:tcBorders>
            <w:vAlign w:val="center"/>
          </w:tcPr>
          <w:p>
            <w:pPr>
              <w:jc w:val="center"/>
              <w:rPr>
                <w:rFonts w:ascii="仿宋" w:hAnsi="仿宋" w:eastAsia="仿宋" w:cs="仿宋"/>
                <w:bCs/>
              </w:rPr>
            </w:pPr>
          </w:p>
        </w:tc>
        <w:tc>
          <w:tcPr>
            <w:tcW w:w="3820" w:type="dxa"/>
            <w:tcBorders>
              <w:tl2br w:val="nil"/>
              <w:tr2bl w:val="nil"/>
            </w:tcBorders>
            <w:vAlign w:val="center"/>
          </w:tcPr>
          <w:p>
            <w:pPr>
              <w:jc w:val="center"/>
              <w:rPr>
                <w:rFonts w:ascii="仿宋" w:hAnsi="仿宋" w:eastAsia="仿宋" w:cs="仿宋"/>
                <w:bCs/>
                <w:lang w:val="zh-CN" w:bidi="zh-CN"/>
              </w:rPr>
            </w:pPr>
            <w:r>
              <w:rPr>
                <w:rFonts w:hint="eastAsia" w:ascii="仿宋" w:hAnsi="仿宋" w:eastAsia="仿宋" w:cs="仿宋"/>
                <w:bCs/>
                <w:lang w:val="zh-CN" w:bidi="zh-CN"/>
              </w:rPr>
              <w:t>职业道德规范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9" w:hRule="atLeast"/>
        </w:trPr>
        <w:tc>
          <w:tcPr>
            <w:tcW w:w="2091" w:type="dxa"/>
            <w:vMerge w:val="continue"/>
            <w:tcBorders>
              <w:tl2br w:val="nil"/>
              <w:tr2bl w:val="nil"/>
            </w:tcBorders>
            <w:vAlign w:val="center"/>
          </w:tcPr>
          <w:p>
            <w:pPr>
              <w:jc w:val="center"/>
              <w:rPr>
                <w:rFonts w:ascii="仿宋" w:hAnsi="仿宋" w:eastAsia="仿宋" w:cs="仿宋"/>
                <w:b/>
              </w:rPr>
            </w:pPr>
          </w:p>
        </w:tc>
        <w:tc>
          <w:tcPr>
            <w:tcW w:w="2306" w:type="dxa"/>
            <w:vMerge w:val="continue"/>
            <w:tcBorders>
              <w:tl2br w:val="nil"/>
              <w:tr2bl w:val="nil"/>
            </w:tcBorders>
            <w:vAlign w:val="center"/>
          </w:tcPr>
          <w:p>
            <w:pPr>
              <w:jc w:val="center"/>
              <w:rPr>
                <w:rFonts w:ascii="仿宋" w:hAnsi="仿宋" w:eastAsia="仿宋" w:cs="仿宋"/>
                <w:bCs/>
              </w:rPr>
            </w:pPr>
          </w:p>
        </w:tc>
        <w:tc>
          <w:tcPr>
            <w:tcW w:w="3820" w:type="dxa"/>
            <w:tcBorders>
              <w:tl2br w:val="nil"/>
              <w:tr2bl w:val="nil"/>
            </w:tcBorders>
            <w:vAlign w:val="center"/>
          </w:tcPr>
          <w:p>
            <w:pPr>
              <w:jc w:val="center"/>
              <w:rPr>
                <w:rFonts w:ascii="仿宋" w:hAnsi="仿宋" w:eastAsia="仿宋" w:cs="仿宋"/>
                <w:bCs/>
                <w:lang w:val="zh-CN" w:bidi="zh-CN"/>
              </w:rPr>
            </w:pPr>
            <w:r>
              <w:rPr>
                <w:rFonts w:hint="eastAsia" w:ascii="仿宋" w:hAnsi="仿宋" w:eastAsia="仿宋" w:cs="仿宋"/>
                <w:bCs/>
                <w:lang w:val="zh-CN" w:bidi="zh-CN"/>
              </w:rPr>
              <w:t>行为习惯标准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9" w:hRule="atLeast"/>
        </w:trPr>
        <w:tc>
          <w:tcPr>
            <w:tcW w:w="2091" w:type="dxa"/>
            <w:vMerge w:val="continue"/>
            <w:tcBorders>
              <w:tl2br w:val="nil"/>
              <w:tr2bl w:val="nil"/>
            </w:tcBorders>
            <w:vAlign w:val="center"/>
          </w:tcPr>
          <w:p>
            <w:pPr>
              <w:jc w:val="center"/>
              <w:rPr>
                <w:rFonts w:ascii="仿宋" w:hAnsi="仿宋" w:eastAsia="仿宋" w:cs="仿宋"/>
                <w:b/>
              </w:rPr>
            </w:pPr>
          </w:p>
        </w:tc>
        <w:tc>
          <w:tcPr>
            <w:tcW w:w="2306" w:type="dxa"/>
            <w:vMerge w:val="continue"/>
            <w:tcBorders>
              <w:tl2br w:val="nil"/>
              <w:tr2bl w:val="nil"/>
            </w:tcBorders>
            <w:vAlign w:val="center"/>
          </w:tcPr>
          <w:p>
            <w:pPr>
              <w:jc w:val="center"/>
              <w:rPr>
                <w:rFonts w:ascii="仿宋" w:hAnsi="仿宋" w:eastAsia="仿宋" w:cs="仿宋"/>
                <w:bCs/>
              </w:rPr>
            </w:pPr>
          </w:p>
        </w:tc>
        <w:tc>
          <w:tcPr>
            <w:tcW w:w="3820" w:type="dxa"/>
            <w:tcBorders>
              <w:tl2br w:val="nil"/>
              <w:tr2bl w:val="nil"/>
            </w:tcBorders>
            <w:vAlign w:val="center"/>
          </w:tcPr>
          <w:p>
            <w:pPr>
              <w:jc w:val="center"/>
              <w:rPr>
                <w:rFonts w:ascii="仿宋" w:hAnsi="仿宋" w:eastAsia="仿宋" w:cs="仿宋"/>
                <w:bCs/>
                <w:lang w:val="zh-CN" w:bidi="zh-CN"/>
              </w:rPr>
            </w:pPr>
            <w:r>
              <w:rPr>
                <w:rFonts w:hint="eastAsia" w:ascii="仿宋" w:hAnsi="仿宋" w:eastAsia="仿宋" w:cs="仿宋"/>
                <w:bCs/>
                <w:lang w:val="zh-CN" w:bidi="zh-CN"/>
              </w:rPr>
              <w:t>心理品质标准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9" w:hRule="atLeast"/>
        </w:trPr>
        <w:tc>
          <w:tcPr>
            <w:tcW w:w="2091" w:type="dxa"/>
            <w:vMerge w:val="continue"/>
            <w:tcBorders>
              <w:tl2br w:val="nil"/>
              <w:tr2bl w:val="nil"/>
            </w:tcBorders>
            <w:vAlign w:val="center"/>
          </w:tcPr>
          <w:p>
            <w:pPr>
              <w:jc w:val="center"/>
              <w:rPr>
                <w:rFonts w:ascii="仿宋" w:hAnsi="仿宋" w:eastAsia="仿宋" w:cs="仿宋"/>
                <w:b/>
              </w:rPr>
            </w:pPr>
          </w:p>
        </w:tc>
        <w:tc>
          <w:tcPr>
            <w:tcW w:w="2306" w:type="dxa"/>
            <w:vMerge w:val="restart"/>
            <w:tcBorders>
              <w:tl2br w:val="nil"/>
              <w:tr2bl w:val="nil"/>
            </w:tcBorders>
            <w:vAlign w:val="center"/>
          </w:tcPr>
          <w:p>
            <w:pPr>
              <w:jc w:val="center"/>
              <w:rPr>
                <w:rFonts w:ascii="仿宋" w:hAnsi="仿宋" w:eastAsia="仿宋" w:cs="仿宋"/>
                <w:bCs/>
                <w:lang w:val="zh-CN" w:bidi="zh-CN"/>
              </w:rPr>
            </w:pPr>
            <w:r>
              <w:rPr>
                <w:rFonts w:hint="eastAsia" w:ascii="仿宋" w:hAnsi="仿宋" w:eastAsia="仿宋" w:cs="仿宋"/>
                <w:bCs/>
                <w:lang w:val="zh-CN" w:bidi="zh-CN"/>
              </w:rPr>
              <w:t>职业技能标准</w:t>
            </w:r>
          </w:p>
        </w:tc>
        <w:tc>
          <w:tcPr>
            <w:tcW w:w="3820" w:type="dxa"/>
            <w:tcBorders>
              <w:tl2br w:val="nil"/>
              <w:tr2bl w:val="nil"/>
            </w:tcBorders>
            <w:vAlign w:val="center"/>
          </w:tcPr>
          <w:p>
            <w:pPr>
              <w:jc w:val="center"/>
              <w:rPr>
                <w:rFonts w:ascii="仿宋" w:hAnsi="仿宋" w:eastAsia="仿宋" w:cs="仿宋"/>
                <w:bCs/>
                <w:lang w:val="zh-CN" w:bidi="zh-CN"/>
              </w:rPr>
            </w:pPr>
            <w:r>
              <w:rPr>
                <w:rFonts w:hint="eastAsia" w:ascii="仿宋" w:hAnsi="仿宋" w:eastAsia="仿宋" w:cs="仿宋"/>
                <w:bCs/>
                <w:lang w:val="zh-CN" w:bidi="zh-CN"/>
              </w:rPr>
              <w:t>专业技能标准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2" w:hRule="atLeast"/>
        </w:trPr>
        <w:tc>
          <w:tcPr>
            <w:tcW w:w="2091" w:type="dxa"/>
            <w:vMerge w:val="continue"/>
            <w:tcBorders>
              <w:tl2br w:val="nil"/>
              <w:tr2bl w:val="nil"/>
            </w:tcBorders>
            <w:vAlign w:val="center"/>
          </w:tcPr>
          <w:p>
            <w:pPr>
              <w:jc w:val="center"/>
              <w:rPr>
                <w:rFonts w:ascii="仿宋" w:hAnsi="仿宋" w:eastAsia="仿宋" w:cs="仿宋"/>
                <w:b/>
              </w:rPr>
            </w:pPr>
          </w:p>
        </w:tc>
        <w:tc>
          <w:tcPr>
            <w:tcW w:w="2306" w:type="dxa"/>
            <w:vMerge w:val="continue"/>
            <w:tcBorders>
              <w:tl2br w:val="nil"/>
              <w:tr2bl w:val="nil"/>
            </w:tcBorders>
            <w:vAlign w:val="center"/>
          </w:tcPr>
          <w:p>
            <w:pPr>
              <w:jc w:val="center"/>
              <w:rPr>
                <w:rFonts w:ascii="仿宋" w:hAnsi="仿宋" w:eastAsia="仿宋" w:cs="仿宋"/>
                <w:bCs/>
              </w:rPr>
            </w:pPr>
          </w:p>
        </w:tc>
        <w:tc>
          <w:tcPr>
            <w:tcW w:w="3820" w:type="dxa"/>
            <w:tcBorders>
              <w:tl2br w:val="nil"/>
              <w:tr2bl w:val="nil"/>
            </w:tcBorders>
            <w:vAlign w:val="center"/>
          </w:tcPr>
          <w:p>
            <w:pPr>
              <w:jc w:val="center"/>
              <w:rPr>
                <w:rFonts w:ascii="仿宋" w:hAnsi="仿宋" w:eastAsia="仿宋" w:cs="仿宋"/>
                <w:bCs/>
                <w:lang w:val="zh-CN" w:bidi="zh-CN"/>
              </w:rPr>
            </w:pPr>
            <w:r>
              <w:rPr>
                <w:rFonts w:hint="eastAsia" w:ascii="仿宋" w:hAnsi="仿宋" w:eastAsia="仿宋" w:cs="仿宋"/>
                <w:bCs/>
                <w:lang w:val="zh-CN" w:bidi="zh-CN"/>
              </w:rPr>
              <w:t>通用技能标准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1" w:hRule="atLeast"/>
        </w:trPr>
        <w:tc>
          <w:tcPr>
            <w:tcW w:w="2091" w:type="dxa"/>
            <w:vMerge w:val="continue"/>
            <w:tcBorders>
              <w:tl2br w:val="nil"/>
              <w:tr2bl w:val="nil"/>
            </w:tcBorders>
            <w:vAlign w:val="center"/>
          </w:tcPr>
          <w:p>
            <w:pPr>
              <w:jc w:val="center"/>
              <w:rPr>
                <w:rFonts w:ascii="仿宋" w:hAnsi="仿宋" w:eastAsia="仿宋" w:cs="仿宋"/>
                <w:b/>
                <w:lang w:val="zh-CN" w:bidi="zh-CN"/>
              </w:rPr>
            </w:pPr>
          </w:p>
        </w:tc>
        <w:tc>
          <w:tcPr>
            <w:tcW w:w="2306" w:type="dxa"/>
            <w:vMerge w:val="continue"/>
            <w:tcBorders>
              <w:tl2br w:val="nil"/>
              <w:tr2bl w:val="nil"/>
            </w:tcBorders>
            <w:vAlign w:val="center"/>
          </w:tcPr>
          <w:p>
            <w:pPr>
              <w:jc w:val="center"/>
              <w:rPr>
                <w:rFonts w:ascii="仿宋" w:hAnsi="仿宋" w:eastAsia="仿宋" w:cs="仿宋"/>
                <w:bCs/>
                <w:lang w:val="zh-CN" w:bidi="zh-CN"/>
              </w:rPr>
            </w:pPr>
          </w:p>
        </w:tc>
        <w:tc>
          <w:tcPr>
            <w:tcW w:w="3820" w:type="dxa"/>
            <w:tcBorders>
              <w:tl2br w:val="nil"/>
              <w:tr2bl w:val="nil"/>
            </w:tcBorders>
            <w:vAlign w:val="center"/>
          </w:tcPr>
          <w:p>
            <w:pPr>
              <w:jc w:val="center"/>
              <w:rPr>
                <w:rFonts w:ascii="仿宋" w:hAnsi="仿宋" w:eastAsia="仿宋" w:cs="仿宋"/>
                <w:bCs/>
                <w:lang w:val="zh-CN" w:bidi="zh-CN"/>
              </w:rPr>
            </w:pPr>
            <w:r>
              <w:rPr>
                <w:rFonts w:hint="eastAsia" w:ascii="仿宋" w:hAnsi="仿宋" w:eastAsia="仿宋" w:cs="仿宋"/>
                <w:bCs/>
                <w:lang w:val="zh-CN" w:bidi="zh-CN"/>
              </w:rPr>
              <w:t>职业体能标准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0" w:hRule="atLeast"/>
        </w:trPr>
        <w:tc>
          <w:tcPr>
            <w:tcW w:w="2091" w:type="dxa"/>
            <w:vMerge w:val="continue"/>
            <w:tcBorders>
              <w:tl2br w:val="nil"/>
              <w:tr2bl w:val="nil"/>
            </w:tcBorders>
            <w:vAlign w:val="center"/>
          </w:tcPr>
          <w:p>
            <w:pPr>
              <w:jc w:val="center"/>
              <w:rPr>
                <w:rFonts w:ascii="仿宋" w:hAnsi="仿宋" w:eastAsia="仿宋" w:cs="仿宋"/>
                <w:b/>
              </w:rPr>
            </w:pPr>
          </w:p>
        </w:tc>
        <w:tc>
          <w:tcPr>
            <w:tcW w:w="2306" w:type="dxa"/>
            <w:vMerge w:val="restart"/>
            <w:tcBorders>
              <w:tl2br w:val="nil"/>
              <w:tr2bl w:val="nil"/>
            </w:tcBorders>
            <w:vAlign w:val="center"/>
          </w:tcPr>
          <w:p>
            <w:pPr>
              <w:jc w:val="center"/>
              <w:rPr>
                <w:rFonts w:ascii="仿宋" w:hAnsi="仿宋" w:eastAsia="仿宋" w:cs="仿宋"/>
                <w:bCs/>
                <w:lang w:val="zh-CN" w:bidi="zh-CN"/>
              </w:rPr>
            </w:pPr>
            <w:r>
              <w:rPr>
                <w:rFonts w:hint="eastAsia" w:ascii="仿宋" w:hAnsi="仿宋" w:eastAsia="仿宋" w:cs="仿宋"/>
                <w:bCs/>
                <w:lang w:val="zh-CN" w:bidi="zh-CN"/>
              </w:rPr>
              <w:t>发展潜力标准</w:t>
            </w:r>
          </w:p>
        </w:tc>
        <w:tc>
          <w:tcPr>
            <w:tcW w:w="3820" w:type="dxa"/>
            <w:tcBorders>
              <w:tl2br w:val="nil"/>
              <w:tr2bl w:val="nil"/>
            </w:tcBorders>
            <w:vAlign w:val="center"/>
          </w:tcPr>
          <w:p>
            <w:pPr>
              <w:jc w:val="center"/>
              <w:rPr>
                <w:rFonts w:ascii="仿宋" w:hAnsi="仿宋" w:eastAsia="仿宋" w:cs="仿宋"/>
                <w:bCs/>
                <w:lang w:val="zh-CN" w:bidi="zh-CN"/>
              </w:rPr>
            </w:pPr>
            <w:r>
              <w:rPr>
                <w:rFonts w:hint="eastAsia" w:ascii="仿宋" w:hAnsi="仿宋" w:eastAsia="仿宋" w:cs="仿宋"/>
                <w:bCs/>
                <w:lang w:val="zh-CN" w:bidi="zh-CN"/>
              </w:rPr>
              <w:t>自主学习能力标准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9" w:hRule="atLeast"/>
        </w:trPr>
        <w:tc>
          <w:tcPr>
            <w:tcW w:w="2091" w:type="dxa"/>
            <w:vMerge w:val="continue"/>
            <w:tcBorders>
              <w:tl2br w:val="nil"/>
              <w:tr2bl w:val="nil"/>
            </w:tcBorders>
            <w:vAlign w:val="center"/>
          </w:tcPr>
          <w:p>
            <w:pPr>
              <w:jc w:val="center"/>
              <w:rPr>
                <w:rFonts w:ascii="仿宋" w:hAnsi="仿宋" w:eastAsia="仿宋" w:cs="仿宋"/>
                <w:b/>
              </w:rPr>
            </w:pPr>
          </w:p>
        </w:tc>
        <w:tc>
          <w:tcPr>
            <w:tcW w:w="2306" w:type="dxa"/>
            <w:vMerge w:val="continue"/>
            <w:tcBorders>
              <w:tl2br w:val="nil"/>
              <w:tr2bl w:val="nil"/>
            </w:tcBorders>
            <w:vAlign w:val="center"/>
          </w:tcPr>
          <w:p>
            <w:pPr>
              <w:jc w:val="center"/>
              <w:rPr>
                <w:rFonts w:ascii="仿宋" w:hAnsi="仿宋" w:eastAsia="仿宋" w:cs="仿宋"/>
                <w:bCs/>
              </w:rPr>
            </w:pPr>
          </w:p>
        </w:tc>
        <w:tc>
          <w:tcPr>
            <w:tcW w:w="3820" w:type="dxa"/>
            <w:tcBorders>
              <w:tl2br w:val="nil"/>
              <w:tr2bl w:val="nil"/>
            </w:tcBorders>
            <w:vAlign w:val="center"/>
          </w:tcPr>
          <w:p>
            <w:pPr>
              <w:jc w:val="center"/>
              <w:rPr>
                <w:rFonts w:ascii="仿宋" w:hAnsi="仿宋" w:eastAsia="仿宋" w:cs="仿宋"/>
                <w:bCs/>
                <w:lang w:val="zh-CN" w:bidi="zh-CN"/>
              </w:rPr>
            </w:pPr>
            <w:r>
              <w:rPr>
                <w:rFonts w:hint="eastAsia" w:ascii="仿宋" w:hAnsi="仿宋" w:eastAsia="仿宋" w:cs="仿宋"/>
                <w:bCs/>
                <w:lang w:val="zh-CN" w:bidi="zh-CN"/>
              </w:rPr>
              <w:t>创新创业能力标准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9" w:hRule="atLeast"/>
        </w:trPr>
        <w:tc>
          <w:tcPr>
            <w:tcW w:w="2091" w:type="dxa"/>
            <w:vMerge w:val="continue"/>
            <w:tcBorders>
              <w:tl2br w:val="nil"/>
              <w:tr2bl w:val="nil"/>
            </w:tcBorders>
            <w:vAlign w:val="center"/>
          </w:tcPr>
          <w:p>
            <w:pPr>
              <w:jc w:val="center"/>
              <w:rPr>
                <w:rFonts w:ascii="仿宋" w:hAnsi="仿宋" w:eastAsia="仿宋" w:cs="仿宋"/>
                <w:b/>
              </w:rPr>
            </w:pPr>
          </w:p>
        </w:tc>
        <w:tc>
          <w:tcPr>
            <w:tcW w:w="2306" w:type="dxa"/>
            <w:vMerge w:val="continue"/>
            <w:tcBorders>
              <w:tl2br w:val="nil"/>
              <w:tr2bl w:val="nil"/>
            </w:tcBorders>
            <w:vAlign w:val="center"/>
          </w:tcPr>
          <w:p>
            <w:pPr>
              <w:jc w:val="center"/>
              <w:rPr>
                <w:rFonts w:ascii="仿宋" w:hAnsi="仿宋" w:eastAsia="仿宋" w:cs="仿宋"/>
                <w:bCs/>
              </w:rPr>
            </w:pPr>
          </w:p>
        </w:tc>
        <w:tc>
          <w:tcPr>
            <w:tcW w:w="3820" w:type="dxa"/>
            <w:tcBorders>
              <w:tl2br w:val="nil"/>
              <w:tr2bl w:val="nil"/>
            </w:tcBorders>
            <w:vAlign w:val="center"/>
          </w:tcPr>
          <w:p>
            <w:pPr>
              <w:jc w:val="center"/>
              <w:rPr>
                <w:rFonts w:ascii="仿宋" w:hAnsi="仿宋" w:eastAsia="仿宋" w:cs="仿宋"/>
                <w:bCs/>
                <w:lang w:val="zh-CN" w:bidi="zh-CN"/>
              </w:rPr>
            </w:pPr>
            <w:r>
              <w:rPr>
                <w:rFonts w:hint="eastAsia" w:ascii="仿宋" w:hAnsi="仿宋" w:eastAsia="仿宋" w:cs="仿宋"/>
                <w:bCs/>
                <w:lang w:val="zh-CN" w:bidi="zh-CN"/>
              </w:rPr>
              <w:t>人文审美能力标准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1" w:hRule="atLeast"/>
        </w:trPr>
        <w:tc>
          <w:tcPr>
            <w:tcW w:w="2091" w:type="dxa"/>
            <w:tcBorders>
              <w:tl2br w:val="nil"/>
              <w:tr2bl w:val="nil"/>
            </w:tcBorders>
            <w:vAlign w:val="center"/>
          </w:tcPr>
          <w:p>
            <w:pPr>
              <w:jc w:val="center"/>
              <w:rPr>
                <w:rFonts w:ascii="仿宋" w:hAnsi="仿宋" w:eastAsia="仿宋" w:cs="仿宋"/>
                <w:b/>
                <w:lang w:val="zh-CN" w:bidi="zh-CN"/>
              </w:rPr>
            </w:pPr>
            <w:r>
              <w:rPr>
                <w:rFonts w:hint="eastAsia" w:ascii="仿宋" w:hAnsi="仿宋" w:eastAsia="仿宋" w:cs="仿宋"/>
                <w:b/>
                <w:lang w:val="zh-CN" w:bidi="zh-CN"/>
              </w:rPr>
              <w:t>学生个人发展标准</w:t>
            </w:r>
          </w:p>
        </w:tc>
        <w:tc>
          <w:tcPr>
            <w:tcW w:w="2306" w:type="dxa"/>
            <w:tcBorders>
              <w:tl2br w:val="nil"/>
              <w:tr2bl w:val="nil"/>
            </w:tcBorders>
            <w:vAlign w:val="center"/>
          </w:tcPr>
          <w:p>
            <w:pPr>
              <w:jc w:val="center"/>
              <w:rPr>
                <w:rFonts w:ascii="仿宋" w:hAnsi="仿宋" w:eastAsia="仿宋" w:cs="仿宋"/>
                <w:bCs/>
                <w:lang w:val="zh-CN" w:bidi="zh-CN"/>
              </w:rPr>
            </w:pPr>
            <w:r>
              <w:rPr>
                <w:rFonts w:hint="eastAsia" w:ascii="仿宋" w:hAnsi="仿宋" w:eastAsia="仿宋" w:cs="仿宋"/>
                <w:bCs/>
                <w:lang w:val="zh-CN" w:bidi="zh-CN"/>
              </w:rPr>
              <w:t>个人发展标准</w:t>
            </w:r>
          </w:p>
        </w:tc>
        <w:tc>
          <w:tcPr>
            <w:tcW w:w="3820" w:type="dxa"/>
            <w:tcBorders>
              <w:tl2br w:val="nil"/>
              <w:tr2bl w:val="nil"/>
            </w:tcBorders>
            <w:vAlign w:val="center"/>
          </w:tcPr>
          <w:p>
            <w:pPr>
              <w:jc w:val="center"/>
              <w:rPr>
                <w:rFonts w:ascii="仿宋" w:hAnsi="仿宋" w:eastAsia="仿宋" w:cs="仿宋"/>
                <w:bCs/>
                <w:lang w:val="zh-CN" w:bidi="zh-CN"/>
              </w:rPr>
            </w:pPr>
            <w:r>
              <w:rPr>
                <w:rFonts w:hint="eastAsia" w:ascii="仿宋" w:hAnsi="仿宋" w:eastAsia="仿宋" w:cs="仿宋"/>
                <w:bCs/>
                <w:lang w:val="zh-CN" w:bidi="zh-CN"/>
              </w:rPr>
              <w:t>学生成长成才规划书</w:t>
            </w:r>
          </w:p>
        </w:tc>
      </w:tr>
    </w:tbl>
    <w:p>
      <w:pPr>
        <w:adjustRightInd w:val="0"/>
        <w:spacing w:line="540" w:lineRule="exact"/>
        <w:ind w:firstLine="602" w:firstLineChars="200"/>
        <w:rPr>
          <w:rFonts w:ascii="仿宋" w:hAnsi="仿宋" w:eastAsia="仿宋" w:cs="仿宋"/>
          <w:b/>
          <w:sz w:val="28"/>
          <w:szCs w:val="28"/>
        </w:rPr>
      </w:pPr>
      <w:r>
        <w:rPr>
          <w:rFonts w:hint="eastAsia" w:ascii="仿宋" w:hAnsi="仿宋" w:eastAsia="仿宋" w:cs="仿宋"/>
          <w:b/>
          <w:sz w:val="30"/>
          <w:szCs w:val="30"/>
        </w:rPr>
        <w:t xml:space="preserve">③ </w:t>
      </w:r>
      <w:r>
        <w:rPr>
          <w:rFonts w:hint="eastAsia" w:ascii="仿宋" w:hAnsi="仿宋" w:eastAsia="仿宋" w:cs="仿宋"/>
          <w:b/>
          <w:sz w:val="28"/>
          <w:szCs w:val="28"/>
        </w:rPr>
        <w:t xml:space="preserve">开展质量督导与常态监控，规范采集人才培养状态数据，落实学校质量年度报告发布制度，实行多元参与质量评价。 </w:t>
      </w:r>
    </w:p>
    <w:p>
      <w:pPr>
        <w:adjustRightInd w:val="0"/>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加强学校信息化建设顶层设计，按照一体化思路，打破传统的单个业务系统数据壁垒，打通相关业务系统数据通道，对现有信息管理系统进行集成，实现数据共享，建成学校人才培养数据中心。建设与智能化校园网络资源共享有关的“学校、专业、课程、教师、学生”等方面全要素网络化的，具有诊断和预警功能的质量管理信息化平台。实现数据源头及时采集，实时掌握和分析人才培养工作状况和核心数据。通过数据分析判断发展变化趋势、寻找影响因素，及时为学校诊断与改进工作提供可靠数据统计信息，规范采集人才培养状态数据。</w:t>
      </w:r>
    </w:p>
    <w:p>
      <w:pPr>
        <w:adjustRightInd w:val="0"/>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完善学校管理制度，促进质量督导与监控常态化。依据优化的决策指挥、质量生成、资源建设、支持服务、监督控制等纵向五个系统的组织机构职责，厘清各部门管控事项，修改完善相关制度，精心设计部门管控事项工作流程，完善学校制度体系。梳理学校、专业、课程、教师、学生层面的事项，进行流程设计，将设计的程序与制度匹配。</w:t>
      </w:r>
    </w:p>
    <w:p>
      <w:pPr>
        <w:adjustRightInd w:val="0"/>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建立考核性诊断和质量报告制度，实现质量保证螺旋递进。建立学校、专业、课程、教师、学生5个层面的质量分析与信息发布制度，及时反馈各环节出现的问题，实时推送预警信息，定期发布学校人才培养质量报告和毕业生就业质量报告，保障学校人才培养工作持续改进、提升水平不断提升。</w:t>
      </w:r>
    </w:p>
    <w:p>
      <w:pPr>
        <w:keepNext/>
        <w:keepLines/>
        <w:spacing w:line="540" w:lineRule="exact"/>
        <w:ind w:firstLine="562" w:firstLineChars="200"/>
        <w:outlineLvl w:val="3"/>
        <w:rPr>
          <w:rFonts w:ascii="Times New Roman" w:hAnsi="Times New Roman" w:eastAsia="仿宋"/>
          <w:b/>
          <w:sz w:val="28"/>
          <w:szCs w:val="28"/>
        </w:rPr>
      </w:pPr>
      <w:r>
        <w:rPr>
          <w:rFonts w:hint="eastAsia" w:ascii="Times New Roman" w:hAnsi="Times New Roman" w:eastAsia="仿宋"/>
          <w:b/>
          <w:sz w:val="28"/>
          <w:szCs w:val="28"/>
        </w:rPr>
        <w:t>（5）建设计划</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1"/>
        <w:gridCol w:w="2036"/>
        <w:gridCol w:w="3564"/>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171" w:type="dxa"/>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年度</w:t>
            </w:r>
          </w:p>
        </w:tc>
        <w:tc>
          <w:tcPr>
            <w:tcW w:w="2036" w:type="dxa"/>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建设任务</w:t>
            </w:r>
          </w:p>
        </w:tc>
        <w:tc>
          <w:tcPr>
            <w:tcW w:w="3564" w:type="dxa"/>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建设内容</w:t>
            </w:r>
          </w:p>
        </w:tc>
        <w:tc>
          <w:tcPr>
            <w:tcW w:w="1559" w:type="dxa"/>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负责部门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1" w:type="dxa"/>
            <w:vMerge w:val="restart"/>
            <w:vAlign w:val="center"/>
          </w:tcPr>
          <w:p>
            <w:pPr>
              <w:jc w:val="center"/>
              <w:rPr>
                <w:rFonts w:ascii="仿宋" w:hAnsi="仿宋" w:eastAsia="仿宋" w:cs="仿宋"/>
                <w:b/>
                <w:szCs w:val="21"/>
              </w:rPr>
            </w:pPr>
            <w:r>
              <w:rPr>
                <w:rFonts w:hint="eastAsia" w:ascii="仿宋" w:hAnsi="仿宋" w:eastAsia="仿宋" w:cs="仿宋"/>
                <w:b/>
                <w:szCs w:val="21"/>
              </w:rPr>
              <w:t>2023</w:t>
            </w:r>
          </w:p>
        </w:tc>
        <w:tc>
          <w:tcPr>
            <w:tcW w:w="2036" w:type="dxa"/>
            <w:vAlign w:val="center"/>
          </w:tcPr>
          <w:p>
            <w:pPr>
              <w:jc w:val="left"/>
              <w:rPr>
                <w:rFonts w:ascii="仿宋" w:hAnsi="仿宋" w:eastAsia="仿宋" w:cs="仿宋"/>
                <w:bCs/>
                <w:szCs w:val="21"/>
                <w:highlight w:val="yellow"/>
              </w:rPr>
            </w:pPr>
            <w:r>
              <w:rPr>
                <w:rFonts w:hint="eastAsia" w:ascii="仿宋" w:hAnsi="仿宋" w:eastAsia="仿宋" w:cs="仿宋"/>
                <w:bCs/>
                <w:szCs w:val="21"/>
              </w:rPr>
              <w:t>自主循环质量提升保证体系和可持续诊断与改进工作机制</w:t>
            </w:r>
          </w:p>
        </w:tc>
        <w:tc>
          <w:tcPr>
            <w:tcW w:w="3564" w:type="dxa"/>
            <w:vAlign w:val="center"/>
          </w:tcPr>
          <w:p>
            <w:pPr>
              <w:jc w:val="left"/>
              <w:rPr>
                <w:rFonts w:ascii="仿宋" w:hAnsi="仿宋" w:eastAsia="仿宋" w:cs="仿宋"/>
                <w:bCs/>
                <w:szCs w:val="21"/>
              </w:rPr>
            </w:pPr>
            <w:r>
              <w:rPr>
                <w:rFonts w:hint="eastAsia" w:ascii="仿宋" w:hAnsi="仿宋" w:eastAsia="仿宋" w:cs="仿宋"/>
                <w:bCs/>
                <w:szCs w:val="21"/>
              </w:rPr>
              <w:t>构建职责明确的组织管理体系、构建内部质量保证体系。</w:t>
            </w:r>
          </w:p>
        </w:tc>
        <w:tc>
          <w:tcPr>
            <w:tcW w:w="1559" w:type="dxa"/>
            <w:vAlign w:val="center"/>
          </w:tcPr>
          <w:p>
            <w:pPr>
              <w:jc w:val="center"/>
              <w:rPr>
                <w:rFonts w:ascii="仿宋" w:hAnsi="仿宋" w:eastAsia="仿宋" w:cs="仿宋"/>
                <w:bCs/>
                <w:szCs w:val="21"/>
              </w:rPr>
            </w:pPr>
            <w:r>
              <w:rPr>
                <w:rFonts w:ascii="仿宋" w:hAnsi="仿宋" w:eastAsia="仿宋" w:cs="仿宋"/>
                <w:bCs/>
                <w:szCs w:val="21"/>
              </w:rPr>
              <w:t>教学质量督导室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1" w:type="dxa"/>
            <w:vMerge w:val="continue"/>
            <w:vAlign w:val="center"/>
          </w:tcPr>
          <w:p>
            <w:pPr>
              <w:jc w:val="center"/>
              <w:rPr>
                <w:rFonts w:ascii="仿宋" w:hAnsi="仿宋" w:eastAsia="仿宋" w:cs="仿宋"/>
                <w:b/>
                <w:szCs w:val="21"/>
              </w:rPr>
            </w:pPr>
          </w:p>
        </w:tc>
        <w:tc>
          <w:tcPr>
            <w:tcW w:w="2036" w:type="dxa"/>
            <w:vAlign w:val="center"/>
          </w:tcPr>
          <w:p>
            <w:pPr>
              <w:jc w:val="left"/>
              <w:rPr>
                <w:rFonts w:ascii="仿宋" w:hAnsi="仿宋" w:eastAsia="仿宋" w:cs="仿宋"/>
                <w:bCs/>
                <w:szCs w:val="21"/>
                <w:highlight w:val="yellow"/>
              </w:rPr>
            </w:pPr>
            <w:r>
              <w:rPr>
                <w:rFonts w:hint="eastAsia" w:ascii="仿宋" w:hAnsi="仿宋" w:eastAsia="仿宋" w:cs="仿宋"/>
                <w:bCs/>
                <w:szCs w:val="21"/>
              </w:rPr>
              <w:t>全面实施学校、专业、课程、教师、学生等层面质量标准管理控制</w:t>
            </w:r>
          </w:p>
        </w:tc>
        <w:tc>
          <w:tcPr>
            <w:tcW w:w="3564" w:type="dxa"/>
            <w:vAlign w:val="center"/>
          </w:tcPr>
          <w:p>
            <w:pPr>
              <w:jc w:val="left"/>
              <w:rPr>
                <w:rFonts w:ascii="仿宋" w:hAnsi="仿宋" w:eastAsia="仿宋" w:cs="仿宋"/>
                <w:bCs/>
                <w:szCs w:val="21"/>
              </w:rPr>
            </w:pPr>
            <w:r>
              <w:rPr>
                <w:rFonts w:hint="eastAsia" w:ascii="仿宋" w:hAnsi="仿宋" w:eastAsia="仿宋" w:cs="仿宋"/>
                <w:bCs/>
                <w:szCs w:val="21"/>
              </w:rPr>
              <w:t>对应规划目标，完善学校、专业、课程、师资、学生等各层面的质量标准，形成规范全校各层面质量的标准链，保证各部门和教职工自觉履行质量保证主体责任。</w:t>
            </w:r>
          </w:p>
        </w:tc>
        <w:tc>
          <w:tcPr>
            <w:tcW w:w="1559" w:type="dxa"/>
            <w:vAlign w:val="center"/>
          </w:tcPr>
          <w:p>
            <w:pPr>
              <w:jc w:val="center"/>
              <w:rPr>
                <w:rFonts w:ascii="仿宋" w:hAnsi="仿宋" w:eastAsia="仿宋" w:cs="仿宋"/>
                <w:bCs/>
                <w:szCs w:val="21"/>
              </w:rPr>
            </w:pPr>
            <w:r>
              <w:rPr>
                <w:rFonts w:ascii="仿宋" w:hAnsi="仿宋" w:eastAsia="仿宋" w:cs="仿宋"/>
                <w:bCs/>
                <w:szCs w:val="21"/>
              </w:rPr>
              <w:t>教学质量督导室、教务处、人事处、学生处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1" w:type="dxa"/>
            <w:vMerge w:val="continue"/>
            <w:vAlign w:val="center"/>
          </w:tcPr>
          <w:p>
            <w:pPr>
              <w:jc w:val="center"/>
              <w:rPr>
                <w:rFonts w:ascii="仿宋" w:hAnsi="仿宋" w:eastAsia="仿宋" w:cs="仿宋"/>
                <w:b/>
                <w:szCs w:val="21"/>
              </w:rPr>
            </w:pPr>
          </w:p>
        </w:tc>
        <w:tc>
          <w:tcPr>
            <w:tcW w:w="2036" w:type="dxa"/>
            <w:vAlign w:val="center"/>
          </w:tcPr>
          <w:p>
            <w:pPr>
              <w:jc w:val="left"/>
              <w:rPr>
                <w:rFonts w:ascii="仿宋" w:hAnsi="仿宋" w:eastAsia="仿宋" w:cs="仿宋"/>
                <w:bCs/>
                <w:szCs w:val="21"/>
              </w:rPr>
            </w:pPr>
            <w:r>
              <w:rPr>
                <w:rFonts w:hint="eastAsia" w:ascii="仿宋" w:hAnsi="仿宋" w:eastAsia="仿宋" w:cs="仿宋"/>
                <w:bCs/>
                <w:szCs w:val="21"/>
              </w:rPr>
              <w:t>开展质量督导与常态监控</w:t>
            </w:r>
          </w:p>
        </w:tc>
        <w:tc>
          <w:tcPr>
            <w:tcW w:w="3564" w:type="dxa"/>
            <w:vAlign w:val="center"/>
          </w:tcPr>
          <w:p>
            <w:pPr>
              <w:jc w:val="left"/>
              <w:rPr>
                <w:rFonts w:ascii="仿宋" w:hAnsi="仿宋" w:eastAsia="仿宋" w:cs="仿宋"/>
                <w:bCs/>
                <w:szCs w:val="21"/>
              </w:rPr>
            </w:pPr>
            <w:r>
              <w:rPr>
                <w:rFonts w:hint="eastAsia" w:ascii="仿宋" w:hAnsi="仿宋" w:eastAsia="仿宋" w:cs="仿宋"/>
                <w:bCs/>
                <w:szCs w:val="21"/>
              </w:rPr>
              <w:t>加强学院信息化建设顶层设计，按照一体化思路，打破传统的单个业务系统数据壁垒，打通相关业务系统数据通道，对现有信息管理系统进行集成，实现数据共享，建成学院人才培养数据中心。</w:t>
            </w:r>
          </w:p>
        </w:tc>
        <w:tc>
          <w:tcPr>
            <w:tcW w:w="1559" w:type="dxa"/>
            <w:vAlign w:val="center"/>
          </w:tcPr>
          <w:p>
            <w:pPr>
              <w:jc w:val="center"/>
              <w:rPr>
                <w:rFonts w:ascii="仿宋" w:hAnsi="仿宋" w:eastAsia="仿宋" w:cs="仿宋"/>
                <w:bCs/>
                <w:szCs w:val="21"/>
              </w:rPr>
            </w:pPr>
            <w:r>
              <w:rPr>
                <w:rFonts w:ascii="仿宋" w:hAnsi="仿宋" w:eastAsia="仿宋" w:cs="仿宋"/>
                <w:bCs/>
                <w:szCs w:val="21"/>
              </w:rPr>
              <w:t>教学质量督导室</w:t>
            </w:r>
            <w:r>
              <w:rPr>
                <w:rFonts w:hint="eastAsia" w:ascii="仿宋" w:hAnsi="仿宋" w:eastAsia="仿宋" w:cs="仿宋"/>
                <w:bCs/>
                <w:szCs w:val="21"/>
              </w:rPr>
              <w:t>、信息技术中心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1" w:type="dxa"/>
            <w:vMerge w:val="restart"/>
            <w:vAlign w:val="center"/>
          </w:tcPr>
          <w:p>
            <w:pPr>
              <w:jc w:val="center"/>
              <w:rPr>
                <w:rFonts w:ascii="仿宋" w:hAnsi="仿宋" w:eastAsia="仿宋" w:cs="仿宋"/>
                <w:b/>
                <w:szCs w:val="21"/>
              </w:rPr>
            </w:pPr>
            <w:r>
              <w:rPr>
                <w:rFonts w:hint="eastAsia" w:ascii="仿宋" w:hAnsi="仿宋" w:eastAsia="仿宋" w:cs="仿宋"/>
                <w:b/>
                <w:szCs w:val="21"/>
              </w:rPr>
              <w:t>2024</w:t>
            </w:r>
          </w:p>
        </w:tc>
        <w:tc>
          <w:tcPr>
            <w:tcW w:w="2036" w:type="dxa"/>
            <w:vAlign w:val="center"/>
          </w:tcPr>
          <w:p>
            <w:pPr>
              <w:jc w:val="left"/>
              <w:rPr>
                <w:rFonts w:ascii="仿宋" w:hAnsi="仿宋" w:eastAsia="仿宋" w:cs="仿宋"/>
                <w:bCs/>
                <w:szCs w:val="21"/>
                <w:highlight w:val="yellow"/>
              </w:rPr>
            </w:pPr>
            <w:r>
              <w:rPr>
                <w:rFonts w:hint="eastAsia" w:ascii="仿宋" w:hAnsi="仿宋" w:eastAsia="仿宋" w:cs="仿宋"/>
                <w:bCs/>
                <w:szCs w:val="21"/>
              </w:rPr>
              <w:t>自主循环质量提升保证体系和可持续诊断与改进工作机制</w:t>
            </w:r>
          </w:p>
        </w:tc>
        <w:tc>
          <w:tcPr>
            <w:tcW w:w="3564" w:type="dxa"/>
            <w:vAlign w:val="center"/>
          </w:tcPr>
          <w:p>
            <w:pPr>
              <w:jc w:val="left"/>
              <w:rPr>
                <w:rFonts w:ascii="仿宋" w:hAnsi="仿宋" w:eastAsia="仿宋" w:cs="仿宋"/>
                <w:bCs/>
                <w:szCs w:val="21"/>
              </w:rPr>
            </w:pPr>
            <w:r>
              <w:rPr>
                <w:rFonts w:hint="eastAsia" w:ascii="仿宋" w:hAnsi="仿宋" w:eastAsia="仿宋" w:cs="仿宋"/>
                <w:bCs/>
                <w:szCs w:val="21"/>
              </w:rPr>
              <w:t>完善规划，形成目标链。完善质量标准，形成标准链。</w:t>
            </w:r>
          </w:p>
        </w:tc>
        <w:tc>
          <w:tcPr>
            <w:tcW w:w="1559" w:type="dxa"/>
            <w:vAlign w:val="center"/>
          </w:tcPr>
          <w:p>
            <w:pPr>
              <w:jc w:val="center"/>
              <w:rPr>
                <w:rFonts w:ascii="仿宋" w:hAnsi="仿宋" w:eastAsia="仿宋" w:cs="仿宋"/>
                <w:bCs/>
                <w:szCs w:val="21"/>
              </w:rPr>
            </w:pPr>
            <w:r>
              <w:rPr>
                <w:rFonts w:ascii="仿宋" w:hAnsi="仿宋" w:eastAsia="仿宋" w:cs="仿宋"/>
                <w:bCs/>
                <w:szCs w:val="21"/>
              </w:rPr>
              <w:t>教学质量督导室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1" w:type="dxa"/>
            <w:vMerge w:val="continue"/>
            <w:vAlign w:val="center"/>
          </w:tcPr>
          <w:p>
            <w:pPr>
              <w:jc w:val="center"/>
              <w:rPr>
                <w:rFonts w:ascii="仿宋" w:hAnsi="仿宋" w:eastAsia="仿宋" w:cs="仿宋"/>
                <w:bCs/>
                <w:szCs w:val="21"/>
              </w:rPr>
            </w:pPr>
          </w:p>
        </w:tc>
        <w:tc>
          <w:tcPr>
            <w:tcW w:w="2036" w:type="dxa"/>
            <w:vAlign w:val="center"/>
          </w:tcPr>
          <w:p>
            <w:pPr>
              <w:jc w:val="left"/>
              <w:rPr>
                <w:rFonts w:ascii="仿宋" w:hAnsi="仿宋" w:eastAsia="仿宋" w:cs="仿宋"/>
                <w:bCs/>
                <w:szCs w:val="21"/>
                <w:highlight w:val="yellow"/>
              </w:rPr>
            </w:pPr>
            <w:r>
              <w:rPr>
                <w:rFonts w:hint="eastAsia" w:ascii="仿宋" w:hAnsi="仿宋" w:eastAsia="仿宋" w:cs="仿宋"/>
                <w:bCs/>
                <w:szCs w:val="21"/>
              </w:rPr>
              <w:t>全面实施学校、专业、课程、教师、学生等层面质量标准管理控制</w:t>
            </w:r>
          </w:p>
        </w:tc>
        <w:tc>
          <w:tcPr>
            <w:tcW w:w="3564" w:type="dxa"/>
            <w:vAlign w:val="center"/>
          </w:tcPr>
          <w:p>
            <w:pPr>
              <w:jc w:val="left"/>
              <w:rPr>
                <w:rFonts w:ascii="仿宋" w:hAnsi="仿宋" w:eastAsia="仿宋" w:cs="仿宋"/>
                <w:bCs/>
                <w:szCs w:val="21"/>
              </w:rPr>
            </w:pPr>
            <w:r>
              <w:rPr>
                <w:rFonts w:hint="eastAsia" w:ascii="仿宋" w:hAnsi="仿宋" w:eastAsia="仿宋" w:cs="仿宋"/>
                <w:bCs/>
                <w:szCs w:val="21"/>
              </w:rPr>
              <w:t>建设学校层面质量标准。建设专业建设标准。建设课程建设标准。建设教师全面发展标准。建设学生全面发展标准。</w:t>
            </w:r>
          </w:p>
        </w:tc>
        <w:tc>
          <w:tcPr>
            <w:tcW w:w="1559" w:type="dxa"/>
            <w:vAlign w:val="center"/>
          </w:tcPr>
          <w:p>
            <w:pPr>
              <w:jc w:val="center"/>
              <w:rPr>
                <w:rFonts w:ascii="仿宋" w:hAnsi="仿宋" w:eastAsia="仿宋" w:cs="仿宋"/>
                <w:bCs/>
                <w:szCs w:val="21"/>
              </w:rPr>
            </w:pPr>
            <w:r>
              <w:rPr>
                <w:rFonts w:ascii="仿宋" w:hAnsi="仿宋" w:eastAsia="仿宋" w:cs="仿宋"/>
                <w:bCs/>
                <w:szCs w:val="21"/>
              </w:rPr>
              <w:t>教学质量督导室、教务处、人事处、学生处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1" w:type="dxa"/>
            <w:vMerge w:val="continue"/>
            <w:vAlign w:val="center"/>
          </w:tcPr>
          <w:p>
            <w:pPr>
              <w:jc w:val="center"/>
              <w:rPr>
                <w:rFonts w:ascii="仿宋" w:hAnsi="仿宋" w:eastAsia="仿宋" w:cs="仿宋"/>
                <w:bCs/>
                <w:szCs w:val="21"/>
              </w:rPr>
            </w:pPr>
          </w:p>
        </w:tc>
        <w:tc>
          <w:tcPr>
            <w:tcW w:w="2036" w:type="dxa"/>
            <w:vAlign w:val="center"/>
          </w:tcPr>
          <w:p>
            <w:pPr>
              <w:jc w:val="left"/>
              <w:rPr>
                <w:rFonts w:ascii="仿宋" w:hAnsi="仿宋" w:eastAsia="仿宋" w:cs="仿宋"/>
                <w:bCs/>
                <w:szCs w:val="21"/>
              </w:rPr>
            </w:pPr>
            <w:r>
              <w:rPr>
                <w:rFonts w:hint="eastAsia" w:ascii="仿宋" w:hAnsi="仿宋" w:eastAsia="仿宋" w:cs="仿宋"/>
                <w:bCs/>
                <w:szCs w:val="21"/>
              </w:rPr>
              <w:t>开展质量督导与常态监控</w:t>
            </w:r>
          </w:p>
        </w:tc>
        <w:tc>
          <w:tcPr>
            <w:tcW w:w="3564" w:type="dxa"/>
            <w:vAlign w:val="center"/>
          </w:tcPr>
          <w:p>
            <w:pPr>
              <w:jc w:val="left"/>
              <w:rPr>
                <w:rFonts w:ascii="仿宋" w:hAnsi="仿宋" w:eastAsia="仿宋" w:cs="仿宋"/>
                <w:bCs/>
                <w:szCs w:val="21"/>
              </w:rPr>
            </w:pPr>
            <w:r>
              <w:rPr>
                <w:rFonts w:hint="eastAsia" w:ascii="仿宋" w:hAnsi="仿宋" w:eastAsia="仿宋" w:cs="仿宋"/>
                <w:bCs/>
                <w:szCs w:val="21"/>
              </w:rPr>
              <w:t>建设与智能化校园网络资源共享有关的“学校、专业、课程、教师、学生”等方面全要素网络化的，具有诊断和预警功能的质量管理信息化平台。</w:t>
            </w:r>
          </w:p>
        </w:tc>
        <w:tc>
          <w:tcPr>
            <w:tcW w:w="1559" w:type="dxa"/>
            <w:vAlign w:val="center"/>
          </w:tcPr>
          <w:p>
            <w:pPr>
              <w:jc w:val="center"/>
              <w:rPr>
                <w:rFonts w:ascii="仿宋" w:hAnsi="仿宋" w:eastAsia="仿宋" w:cs="仿宋"/>
                <w:bCs/>
                <w:szCs w:val="21"/>
              </w:rPr>
            </w:pPr>
            <w:r>
              <w:rPr>
                <w:rFonts w:ascii="仿宋" w:hAnsi="仿宋" w:eastAsia="仿宋" w:cs="仿宋"/>
                <w:bCs/>
                <w:szCs w:val="21"/>
              </w:rPr>
              <w:t>教学质量督导室</w:t>
            </w:r>
            <w:r>
              <w:rPr>
                <w:rFonts w:hint="eastAsia" w:ascii="仿宋" w:hAnsi="仿宋" w:eastAsia="仿宋" w:cs="仿宋"/>
                <w:bCs/>
                <w:szCs w:val="21"/>
              </w:rPr>
              <w:t>、信息技术中心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1" w:type="dxa"/>
            <w:vMerge w:val="restart"/>
            <w:vAlign w:val="center"/>
          </w:tcPr>
          <w:p>
            <w:pPr>
              <w:jc w:val="center"/>
              <w:rPr>
                <w:rFonts w:ascii="仿宋" w:hAnsi="仿宋" w:eastAsia="仿宋" w:cs="仿宋"/>
                <w:bCs/>
                <w:szCs w:val="21"/>
              </w:rPr>
            </w:pPr>
            <w:r>
              <w:rPr>
                <w:rFonts w:hint="eastAsia" w:ascii="仿宋" w:hAnsi="仿宋" w:eastAsia="仿宋" w:cs="仿宋"/>
                <w:b/>
                <w:szCs w:val="21"/>
              </w:rPr>
              <w:t>2025</w:t>
            </w:r>
          </w:p>
        </w:tc>
        <w:tc>
          <w:tcPr>
            <w:tcW w:w="2036" w:type="dxa"/>
            <w:vAlign w:val="center"/>
          </w:tcPr>
          <w:p>
            <w:pPr>
              <w:jc w:val="left"/>
              <w:rPr>
                <w:rFonts w:ascii="仿宋" w:hAnsi="仿宋" w:eastAsia="仿宋" w:cs="仿宋"/>
                <w:bCs/>
                <w:szCs w:val="21"/>
              </w:rPr>
            </w:pPr>
            <w:r>
              <w:rPr>
                <w:rFonts w:hint="eastAsia" w:ascii="仿宋" w:hAnsi="仿宋" w:eastAsia="仿宋" w:cs="仿宋"/>
                <w:bCs/>
                <w:szCs w:val="21"/>
              </w:rPr>
              <w:t>自主循环质量提升保证体系和可持续诊断与改进工作机制</w:t>
            </w:r>
          </w:p>
        </w:tc>
        <w:tc>
          <w:tcPr>
            <w:tcW w:w="3564" w:type="dxa"/>
            <w:vAlign w:val="center"/>
          </w:tcPr>
          <w:p>
            <w:pPr>
              <w:jc w:val="left"/>
              <w:rPr>
                <w:rFonts w:ascii="仿宋" w:hAnsi="仿宋" w:eastAsia="仿宋" w:cs="仿宋"/>
                <w:bCs/>
                <w:szCs w:val="21"/>
              </w:rPr>
            </w:pPr>
            <w:r>
              <w:rPr>
                <w:rFonts w:hint="eastAsia" w:ascii="仿宋" w:hAnsi="仿宋" w:eastAsia="仿宋" w:cs="仿宋"/>
                <w:bCs/>
                <w:szCs w:val="21"/>
              </w:rPr>
              <w:t>加强制度建设，形成可持续诊断与改进工作机制。建立信息化管理平台，保障质量保证体系运行。</w:t>
            </w:r>
          </w:p>
        </w:tc>
        <w:tc>
          <w:tcPr>
            <w:tcW w:w="1559" w:type="dxa"/>
            <w:vAlign w:val="center"/>
          </w:tcPr>
          <w:p>
            <w:pPr>
              <w:jc w:val="center"/>
              <w:rPr>
                <w:rFonts w:ascii="仿宋" w:hAnsi="仿宋" w:eastAsia="仿宋" w:cs="仿宋"/>
                <w:bCs/>
                <w:szCs w:val="21"/>
              </w:rPr>
            </w:pPr>
            <w:r>
              <w:rPr>
                <w:rFonts w:ascii="仿宋" w:hAnsi="仿宋" w:eastAsia="仿宋" w:cs="仿宋"/>
                <w:bCs/>
                <w:szCs w:val="21"/>
              </w:rPr>
              <w:t>教学质量督导室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1" w:type="dxa"/>
            <w:vMerge w:val="continue"/>
            <w:vAlign w:val="center"/>
          </w:tcPr>
          <w:p>
            <w:pPr>
              <w:jc w:val="left"/>
              <w:rPr>
                <w:rFonts w:ascii="仿宋" w:hAnsi="仿宋" w:eastAsia="仿宋" w:cs="仿宋"/>
                <w:bCs/>
                <w:szCs w:val="21"/>
              </w:rPr>
            </w:pPr>
          </w:p>
        </w:tc>
        <w:tc>
          <w:tcPr>
            <w:tcW w:w="2036" w:type="dxa"/>
            <w:vAlign w:val="center"/>
          </w:tcPr>
          <w:p>
            <w:pPr>
              <w:jc w:val="left"/>
              <w:rPr>
                <w:rFonts w:ascii="仿宋" w:hAnsi="仿宋" w:eastAsia="仿宋" w:cs="仿宋"/>
                <w:bCs/>
                <w:szCs w:val="21"/>
              </w:rPr>
            </w:pPr>
            <w:r>
              <w:rPr>
                <w:rFonts w:hint="eastAsia" w:ascii="仿宋" w:hAnsi="仿宋" w:eastAsia="仿宋" w:cs="仿宋"/>
                <w:bCs/>
                <w:szCs w:val="21"/>
              </w:rPr>
              <w:t>全面实施学校、专业、课程、教师、学生等层面质量标准管理控制</w:t>
            </w:r>
          </w:p>
        </w:tc>
        <w:tc>
          <w:tcPr>
            <w:tcW w:w="3564" w:type="dxa"/>
            <w:vAlign w:val="center"/>
          </w:tcPr>
          <w:p>
            <w:pPr>
              <w:jc w:val="left"/>
              <w:rPr>
                <w:rFonts w:ascii="仿宋" w:hAnsi="仿宋" w:eastAsia="仿宋" w:cs="仿宋"/>
                <w:bCs/>
                <w:szCs w:val="21"/>
              </w:rPr>
            </w:pPr>
            <w:r>
              <w:rPr>
                <w:rFonts w:hint="eastAsia" w:ascii="仿宋" w:hAnsi="仿宋" w:eastAsia="仿宋" w:cs="仿宋"/>
                <w:bCs/>
                <w:szCs w:val="21"/>
              </w:rPr>
              <w:t>全面实施学校层面质量标准、专业建设标准、课程建设标准、教师全面发展标准、学生全面发展标准。</w:t>
            </w:r>
          </w:p>
        </w:tc>
        <w:tc>
          <w:tcPr>
            <w:tcW w:w="1559" w:type="dxa"/>
            <w:vAlign w:val="center"/>
          </w:tcPr>
          <w:p>
            <w:pPr>
              <w:jc w:val="center"/>
              <w:rPr>
                <w:rFonts w:ascii="仿宋" w:hAnsi="仿宋" w:eastAsia="仿宋" w:cs="仿宋"/>
                <w:bCs/>
                <w:szCs w:val="21"/>
              </w:rPr>
            </w:pPr>
            <w:r>
              <w:rPr>
                <w:rFonts w:ascii="仿宋" w:hAnsi="仿宋" w:eastAsia="仿宋" w:cs="仿宋"/>
                <w:bCs/>
                <w:szCs w:val="21"/>
              </w:rPr>
              <w:t>教学质量督导室、教务处、人事处、学生处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1" w:type="dxa"/>
            <w:vMerge w:val="continue"/>
            <w:vAlign w:val="center"/>
          </w:tcPr>
          <w:p>
            <w:pPr>
              <w:jc w:val="left"/>
              <w:rPr>
                <w:rFonts w:ascii="仿宋" w:hAnsi="仿宋" w:eastAsia="仿宋" w:cs="仿宋"/>
                <w:bCs/>
                <w:szCs w:val="21"/>
              </w:rPr>
            </w:pPr>
          </w:p>
        </w:tc>
        <w:tc>
          <w:tcPr>
            <w:tcW w:w="2036" w:type="dxa"/>
            <w:vAlign w:val="center"/>
          </w:tcPr>
          <w:p>
            <w:pPr>
              <w:jc w:val="left"/>
              <w:rPr>
                <w:rFonts w:ascii="仿宋" w:hAnsi="仿宋" w:eastAsia="仿宋" w:cs="仿宋"/>
                <w:bCs/>
                <w:szCs w:val="21"/>
              </w:rPr>
            </w:pPr>
            <w:r>
              <w:rPr>
                <w:rFonts w:hint="eastAsia" w:ascii="仿宋" w:hAnsi="仿宋" w:eastAsia="仿宋" w:cs="仿宋"/>
                <w:bCs/>
                <w:szCs w:val="21"/>
              </w:rPr>
              <w:t>开展质量督导与常态监控</w:t>
            </w:r>
          </w:p>
        </w:tc>
        <w:tc>
          <w:tcPr>
            <w:tcW w:w="3564" w:type="dxa"/>
            <w:vAlign w:val="center"/>
          </w:tcPr>
          <w:p>
            <w:pPr>
              <w:jc w:val="left"/>
              <w:rPr>
                <w:rFonts w:ascii="仿宋" w:hAnsi="仿宋" w:eastAsia="仿宋" w:cs="仿宋"/>
                <w:bCs/>
                <w:szCs w:val="21"/>
              </w:rPr>
            </w:pPr>
            <w:r>
              <w:rPr>
                <w:rFonts w:hint="eastAsia" w:ascii="仿宋" w:hAnsi="仿宋" w:eastAsia="仿宋" w:cs="仿宋"/>
                <w:bCs/>
                <w:szCs w:val="21"/>
              </w:rPr>
              <w:t>完善学院管理制度，促进质量督导与监控常态化。</w:t>
            </w:r>
          </w:p>
        </w:tc>
        <w:tc>
          <w:tcPr>
            <w:tcW w:w="1559" w:type="dxa"/>
            <w:vAlign w:val="center"/>
          </w:tcPr>
          <w:p>
            <w:pPr>
              <w:jc w:val="center"/>
              <w:rPr>
                <w:rFonts w:ascii="仿宋" w:hAnsi="仿宋" w:eastAsia="仿宋" w:cs="仿宋"/>
                <w:bCs/>
                <w:szCs w:val="21"/>
              </w:rPr>
            </w:pPr>
            <w:r>
              <w:rPr>
                <w:rFonts w:ascii="仿宋" w:hAnsi="仿宋" w:eastAsia="仿宋" w:cs="仿宋"/>
                <w:bCs/>
                <w:szCs w:val="21"/>
              </w:rPr>
              <w:t>图书馆</w:t>
            </w:r>
          </w:p>
        </w:tc>
      </w:tr>
    </w:tbl>
    <w:p>
      <w:pPr>
        <w:keepNext/>
        <w:keepLines/>
        <w:spacing w:line="540" w:lineRule="exact"/>
        <w:ind w:firstLine="562" w:firstLineChars="200"/>
        <w:outlineLvl w:val="3"/>
        <w:rPr>
          <w:rFonts w:ascii="Times New Roman" w:hAnsi="Times New Roman" w:eastAsia="仿宋"/>
          <w:b/>
          <w:sz w:val="28"/>
          <w:szCs w:val="28"/>
        </w:rPr>
      </w:pPr>
      <w:r>
        <w:rPr>
          <w:rFonts w:hint="eastAsia" w:ascii="Times New Roman" w:hAnsi="Times New Roman" w:eastAsia="仿宋"/>
          <w:b/>
          <w:sz w:val="28"/>
          <w:szCs w:val="28"/>
        </w:rPr>
        <w:t>（6）预期成效及资金测算</w:t>
      </w:r>
    </w:p>
    <w:tbl>
      <w:tblPr>
        <w:tblStyle w:val="16"/>
        <w:tblW w:w="0" w:type="auto"/>
        <w:jc w:val="center"/>
        <w:tblLayout w:type="autofit"/>
        <w:tblCellMar>
          <w:top w:w="15" w:type="dxa"/>
          <w:left w:w="15" w:type="dxa"/>
          <w:bottom w:w="15" w:type="dxa"/>
          <w:right w:w="15" w:type="dxa"/>
        </w:tblCellMar>
      </w:tblPr>
      <w:tblGrid>
        <w:gridCol w:w="476"/>
        <w:gridCol w:w="2597"/>
        <w:gridCol w:w="3801"/>
        <w:gridCol w:w="487"/>
        <w:gridCol w:w="487"/>
        <w:gridCol w:w="488"/>
      </w:tblGrid>
      <w:tr>
        <w:tblPrEx>
          <w:tblCellMar>
            <w:top w:w="15" w:type="dxa"/>
            <w:left w:w="15" w:type="dxa"/>
            <w:bottom w:w="15" w:type="dxa"/>
            <w:right w:w="15" w:type="dxa"/>
          </w:tblCellMar>
        </w:tblPrEx>
        <w:trPr>
          <w:trHeight w:val="301"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项目名称</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主要建设内容</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预期建设成效</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建设资金安排表（万元）</w:t>
            </w:r>
          </w:p>
        </w:tc>
      </w:tr>
      <w:tr>
        <w:tblPrEx>
          <w:tblCellMar>
            <w:top w:w="15" w:type="dxa"/>
            <w:left w:w="15" w:type="dxa"/>
            <w:bottom w:w="15" w:type="dxa"/>
            <w:right w:w="15" w:type="dxa"/>
          </w:tblCellMar>
        </w:tblPrEx>
        <w:trPr>
          <w:trHeight w:val="286"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jc w:val="center"/>
              <w:rPr>
                <w:rFonts w:ascii="仿宋" w:hAnsi="仿宋" w:eastAsia="仿宋" w:cs="仿宋"/>
                <w:b/>
                <w:bCs/>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jc w:val="center"/>
              <w:rPr>
                <w:rFonts w:ascii="仿宋" w:hAnsi="仿宋" w:eastAsia="仿宋" w:cs="仿宋"/>
                <w:b/>
                <w:bCs/>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jc w:val="center"/>
              <w:rPr>
                <w:rFonts w:ascii="仿宋" w:hAnsi="仿宋" w:eastAsia="仿宋" w:cs="仿宋"/>
                <w:b/>
                <w:bCs/>
                <w:color w:val="000000"/>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kern w:val="0"/>
                <w:szCs w:val="21"/>
                <w:lang w:bidi="ar"/>
              </w:rPr>
            </w:pPr>
            <w:r>
              <w:rPr>
                <w:rFonts w:hint="eastAsia" w:ascii="仿宋" w:hAnsi="仿宋" w:eastAsia="仿宋" w:cs="仿宋"/>
                <w:b/>
                <w:bCs/>
                <w:color w:val="000000"/>
                <w:kern w:val="0"/>
                <w:szCs w:val="21"/>
                <w:lang w:bidi="ar"/>
              </w:rPr>
              <w:t>2023年</w:t>
            </w:r>
          </w:p>
        </w:tc>
        <w:tc>
          <w:tcPr>
            <w:tcW w:w="0" w:type="auto"/>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2024年</w:t>
            </w:r>
          </w:p>
        </w:tc>
        <w:tc>
          <w:tcPr>
            <w:tcW w:w="0" w:type="auto"/>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2025年</w:t>
            </w:r>
          </w:p>
        </w:tc>
      </w:tr>
      <w:tr>
        <w:tblPrEx>
          <w:tblCellMar>
            <w:top w:w="15" w:type="dxa"/>
            <w:left w:w="15" w:type="dxa"/>
            <w:bottom w:w="15" w:type="dxa"/>
            <w:right w:w="15" w:type="dxa"/>
          </w:tblCellMar>
        </w:tblPrEx>
        <w:trPr>
          <w:trHeight w:val="450"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Cs w:val="21"/>
              </w:rPr>
            </w:pPr>
            <w:r>
              <w:rPr>
                <w:rFonts w:hint="eastAsia" w:ascii="仿宋" w:hAnsi="仿宋" w:eastAsia="仿宋" w:cs="仿宋"/>
                <w:b/>
                <w:bCs/>
                <w:color w:val="000000"/>
                <w:szCs w:val="21"/>
              </w:rPr>
              <w:t>内部质量保证体系建设项目</w:t>
            </w:r>
          </w:p>
        </w:tc>
        <w:tc>
          <w:tcPr>
            <w:tcW w:w="0" w:type="auto"/>
            <w:tcBorders>
              <w:top w:val="single" w:color="000000" w:sz="4" w:space="0"/>
              <w:left w:val="single" w:color="000000" w:sz="4" w:space="0"/>
              <w:bottom w:val="single" w:color="000000" w:sz="4" w:space="0"/>
              <w:right w:val="single" w:color="000000" w:sz="4" w:space="0"/>
            </w:tcBorders>
            <w:vAlign w:val="center"/>
          </w:tcPr>
          <w:p>
            <w:pPr>
              <w:jc w:val="left"/>
              <w:rPr>
                <w:rFonts w:ascii="仿宋" w:hAnsi="仿宋" w:eastAsia="仿宋" w:cs="仿宋"/>
                <w:color w:val="000000"/>
                <w:szCs w:val="21"/>
              </w:rPr>
            </w:pPr>
            <w:r>
              <w:rPr>
                <w:rFonts w:hint="eastAsia" w:ascii="仿宋" w:hAnsi="仿宋" w:eastAsia="仿宋" w:cs="仿宋"/>
                <w:color w:val="000000"/>
                <w:szCs w:val="21"/>
              </w:rPr>
              <w:t>通过构建组织管理体系、构建内部质量保证体系，科学制定目标链和标准链，优化信息化管理平台，提高质量保证体系运行保障能力，提高质量督导与常态监控覆盖面和力度，规范采集人才培养状态数据，形成多元参与质量评价机制。</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Cs w:val="21"/>
              </w:rPr>
            </w:pPr>
            <w:r>
              <w:rPr>
                <w:rFonts w:hint="eastAsia" w:ascii="仿宋" w:hAnsi="仿宋" w:eastAsia="仿宋" w:cs="仿宋"/>
                <w:color w:val="000000"/>
                <w:szCs w:val="21"/>
              </w:rPr>
              <w:t>实施好《惠州工程职业学院内部质量保证体系建设与运行实施方案》，推动学校实施常态化自主保证人才培养质量机制，引导和促进学院不断完善内部质量保证体系建设，提升内部质量保证工作成效，推进学校深化改革、内涵发展、办出特色，全面提高人才培养质量，主动适应社会经济发展需要。促进学校不断完善内部质量保证体系建设，持续提高人才培养质量。</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Cs w:val="21"/>
              </w:rPr>
            </w:pPr>
            <w:r>
              <w:rPr>
                <w:rFonts w:hint="eastAsia" w:ascii="仿宋" w:hAnsi="仿宋" w:eastAsia="仿宋" w:cs="仿宋"/>
                <w:color w:val="000000"/>
                <w:szCs w:val="21"/>
              </w:rPr>
              <w:t>3</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Cs w:val="21"/>
              </w:rPr>
            </w:pPr>
            <w:r>
              <w:rPr>
                <w:rFonts w:hint="eastAsia" w:ascii="仿宋" w:hAnsi="仿宋" w:eastAsia="仿宋" w:cs="仿宋"/>
                <w:color w:val="000000"/>
                <w:szCs w:val="21"/>
              </w:rPr>
              <w:t>3</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Cs w:val="21"/>
              </w:rPr>
            </w:pPr>
            <w:r>
              <w:rPr>
                <w:rFonts w:hint="eastAsia" w:ascii="仿宋" w:hAnsi="仿宋" w:eastAsia="仿宋" w:cs="仿宋"/>
                <w:color w:val="000000"/>
                <w:szCs w:val="21"/>
              </w:rPr>
              <w:t>4</w:t>
            </w:r>
          </w:p>
        </w:tc>
      </w:tr>
    </w:tbl>
    <w:p>
      <w:pPr>
        <w:spacing w:line="540" w:lineRule="exact"/>
        <w:rPr>
          <w:rFonts w:ascii="仿宋" w:hAnsi="仿宋" w:eastAsia="仿宋"/>
          <w:b/>
          <w:bCs/>
          <w:sz w:val="32"/>
          <w:szCs w:val="32"/>
        </w:rPr>
      </w:pPr>
    </w:p>
    <w:p>
      <w:pPr>
        <w:pStyle w:val="3"/>
        <w:ind w:firstLine="643"/>
      </w:pPr>
      <w:bookmarkStart w:id="31" w:name="_Toc164347832"/>
      <w:r>
        <w:rPr>
          <w:rFonts w:hint="eastAsia"/>
        </w:rPr>
        <w:t>（二）办学条件改善项目</w:t>
      </w:r>
      <w:bookmarkEnd w:id="31"/>
    </w:p>
    <w:p>
      <w:pPr>
        <w:pStyle w:val="4"/>
      </w:pPr>
      <w:bookmarkStart w:id="32" w:name="_Toc1612"/>
      <w:r>
        <w:rPr>
          <w:rFonts w:hint="eastAsia"/>
        </w:rPr>
        <w:fldChar w:fldCharType="begin"/>
      </w:r>
      <w:r>
        <w:rPr>
          <w:rFonts w:hint="eastAsia"/>
        </w:rPr>
        <w:instrText xml:space="preserve"> HYPERLINK \l "_Toc11948" </w:instrText>
      </w:r>
      <w:r>
        <w:rPr>
          <w:rFonts w:hint="eastAsia"/>
        </w:rPr>
        <w:fldChar w:fldCharType="separate"/>
      </w:r>
      <w:bookmarkStart w:id="33" w:name="_Toc164347833"/>
      <w:r>
        <w:rPr>
          <w:rFonts w:hint="eastAsia"/>
        </w:rPr>
        <w:t>1.生师比达标项目</w:t>
      </w:r>
      <w:bookmarkEnd w:id="33"/>
      <w:r>
        <w:rPr>
          <w:rFonts w:hint="eastAsia"/>
        </w:rPr>
        <w:fldChar w:fldCharType="end"/>
      </w:r>
      <w:bookmarkEnd w:id="32"/>
    </w:p>
    <w:p>
      <w:pPr>
        <w:keepNext/>
        <w:keepLines/>
        <w:spacing w:line="540" w:lineRule="exact"/>
        <w:ind w:firstLine="562" w:firstLineChars="200"/>
        <w:outlineLvl w:val="3"/>
        <w:rPr>
          <w:rFonts w:ascii="Times New Roman" w:hAnsi="Times New Roman" w:eastAsia="仿宋"/>
          <w:b/>
          <w:sz w:val="28"/>
          <w:szCs w:val="28"/>
        </w:rPr>
      </w:pPr>
      <w:r>
        <w:rPr>
          <w:rFonts w:hint="eastAsia" w:ascii="Times New Roman" w:hAnsi="Times New Roman" w:eastAsia="仿宋"/>
          <w:b/>
          <w:sz w:val="28"/>
          <w:szCs w:val="28"/>
        </w:rPr>
        <w:t>（1）必要性和可行性</w:t>
      </w:r>
    </w:p>
    <w:p>
      <w:pPr>
        <w:spacing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根据教育部《关于印发〈普通高等学校基本办学条件指标（试行）〉的通知》中</w:t>
      </w:r>
      <w:r>
        <w:rPr>
          <w:rFonts w:ascii="仿宋" w:hAnsi="仿宋" w:eastAsia="仿宋" w:cs="仿宋"/>
          <w:bCs/>
          <w:sz w:val="28"/>
          <w:szCs w:val="28"/>
        </w:rPr>
        <w:t>的有关生师比达标类项目要求，</w:t>
      </w:r>
      <w:r>
        <w:rPr>
          <w:rFonts w:hint="eastAsia" w:ascii="仿宋" w:hAnsi="仿宋" w:eastAsia="仿宋" w:cs="仿宋"/>
          <w:bCs/>
          <w:sz w:val="28"/>
          <w:szCs w:val="28"/>
        </w:rPr>
        <w:t>理工科高职院校生</w:t>
      </w:r>
      <w:r>
        <w:rPr>
          <w:rFonts w:ascii="仿宋" w:hAnsi="仿宋" w:eastAsia="仿宋" w:cs="仿宋"/>
          <w:bCs/>
          <w:sz w:val="28"/>
          <w:szCs w:val="28"/>
        </w:rPr>
        <w:t>师比不得高于</w:t>
      </w:r>
      <w:r>
        <w:rPr>
          <w:rFonts w:hint="eastAsia" w:ascii="仿宋" w:hAnsi="仿宋" w:eastAsia="仿宋" w:cs="仿宋"/>
          <w:bCs/>
          <w:sz w:val="28"/>
          <w:szCs w:val="28"/>
        </w:rPr>
        <w:t>18：1。合理的生师比不仅是学校教学质量的根本保障，更是衡量一个学校办学水平和办学成效的重要指标之一。</w:t>
      </w:r>
    </w:p>
    <w:p>
      <w:pPr>
        <w:spacing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学校高度重视师资队伍建设，前期已经通过申请调整办学规模结构、压减招生规模、挖掘校友资源、企业资源争取社会资金和专项资金、实施绩效工资制度改革、提升教职员工工作效率、严格财务管理、增加横向科研到账收入和继续教育培训收入等途径，尽量为生师比达标创造条件。2025年底前实现生师比达标具有可行性。</w:t>
      </w:r>
    </w:p>
    <w:p>
      <w:pPr>
        <w:keepNext/>
        <w:keepLines/>
        <w:spacing w:line="540" w:lineRule="exact"/>
        <w:ind w:firstLine="562" w:firstLineChars="200"/>
        <w:outlineLvl w:val="3"/>
        <w:rPr>
          <w:rFonts w:ascii="Times New Roman" w:hAnsi="Times New Roman" w:eastAsia="仿宋"/>
          <w:b/>
          <w:sz w:val="28"/>
          <w:szCs w:val="28"/>
        </w:rPr>
      </w:pPr>
      <w:r>
        <w:rPr>
          <w:rFonts w:hint="eastAsia" w:ascii="Times New Roman" w:hAnsi="Times New Roman" w:eastAsia="仿宋"/>
          <w:b/>
          <w:sz w:val="28"/>
          <w:szCs w:val="28"/>
        </w:rPr>
        <w:t>（2）拟</w:t>
      </w:r>
      <w:r>
        <w:rPr>
          <w:rFonts w:ascii="Times New Roman" w:hAnsi="Times New Roman" w:eastAsia="仿宋"/>
          <w:b/>
          <w:sz w:val="28"/>
          <w:szCs w:val="28"/>
        </w:rPr>
        <w:t>解决的关键问题</w:t>
      </w:r>
    </w:p>
    <w:p>
      <w:pPr>
        <w:spacing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学校一</w:t>
      </w:r>
      <w:r>
        <w:rPr>
          <w:rFonts w:ascii="仿宋" w:hAnsi="仿宋" w:eastAsia="仿宋" w:cs="仿宋"/>
          <w:bCs/>
          <w:sz w:val="28"/>
          <w:szCs w:val="28"/>
        </w:rPr>
        <w:t>方面坚持大力培育和发展校本师资，优化</w:t>
      </w:r>
      <w:r>
        <w:rPr>
          <w:rFonts w:hint="eastAsia" w:ascii="仿宋" w:hAnsi="仿宋" w:eastAsia="仿宋" w:cs="仿宋"/>
          <w:bCs/>
          <w:sz w:val="28"/>
          <w:szCs w:val="28"/>
        </w:rPr>
        <w:t>现</w:t>
      </w:r>
      <w:r>
        <w:rPr>
          <w:rFonts w:ascii="仿宋" w:hAnsi="仿宋" w:eastAsia="仿宋" w:cs="仿宋"/>
          <w:bCs/>
          <w:sz w:val="28"/>
          <w:szCs w:val="28"/>
        </w:rPr>
        <w:t>有师资队伍，提升教学</w:t>
      </w:r>
      <w:r>
        <w:rPr>
          <w:rFonts w:hint="eastAsia" w:ascii="仿宋" w:hAnsi="仿宋" w:eastAsia="仿宋" w:cs="仿宋"/>
          <w:bCs/>
          <w:sz w:val="28"/>
          <w:szCs w:val="28"/>
        </w:rPr>
        <w:t>和</w:t>
      </w:r>
      <w:r>
        <w:rPr>
          <w:rFonts w:ascii="仿宋" w:hAnsi="仿宋" w:eastAsia="仿宋" w:cs="仿宋"/>
          <w:bCs/>
          <w:sz w:val="28"/>
          <w:szCs w:val="28"/>
        </w:rPr>
        <w:t>科研水平；另一方面</w:t>
      </w:r>
      <w:r>
        <w:rPr>
          <w:rFonts w:hint="eastAsia" w:ascii="仿宋" w:hAnsi="仿宋" w:eastAsia="仿宋" w:cs="仿宋"/>
          <w:bCs/>
          <w:sz w:val="28"/>
          <w:szCs w:val="28"/>
        </w:rPr>
        <w:t>最大</w:t>
      </w:r>
      <w:r>
        <w:rPr>
          <w:rFonts w:ascii="仿宋" w:hAnsi="仿宋" w:eastAsia="仿宋" w:cs="仿宋"/>
          <w:bCs/>
          <w:sz w:val="28"/>
          <w:szCs w:val="28"/>
        </w:rPr>
        <w:t>限度利用学校现</w:t>
      </w:r>
      <w:r>
        <w:rPr>
          <w:rFonts w:hint="eastAsia" w:ascii="仿宋" w:hAnsi="仿宋" w:eastAsia="仿宋" w:cs="仿宋"/>
          <w:bCs/>
          <w:sz w:val="28"/>
          <w:szCs w:val="28"/>
        </w:rPr>
        <w:t>有</w:t>
      </w:r>
      <w:r>
        <w:rPr>
          <w:rFonts w:ascii="仿宋" w:hAnsi="仿宋" w:eastAsia="仿宋" w:cs="仿宋"/>
          <w:bCs/>
          <w:sz w:val="28"/>
          <w:szCs w:val="28"/>
        </w:rPr>
        <w:t>的资源和优势</w:t>
      </w:r>
      <w:r>
        <w:rPr>
          <w:rFonts w:hint="eastAsia" w:ascii="仿宋" w:hAnsi="仿宋" w:eastAsia="仿宋" w:cs="仿宋"/>
          <w:bCs/>
          <w:sz w:val="28"/>
          <w:szCs w:val="28"/>
        </w:rPr>
        <w:t>引进</w:t>
      </w:r>
      <w:r>
        <w:rPr>
          <w:rFonts w:ascii="仿宋" w:hAnsi="仿宋" w:eastAsia="仿宋" w:cs="仿宋"/>
          <w:bCs/>
          <w:sz w:val="28"/>
          <w:szCs w:val="28"/>
        </w:rPr>
        <w:t>高层次水平师资队</w:t>
      </w:r>
      <w:r>
        <w:rPr>
          <w:rFonts w:hint="eastAsia" w:ascii="仿宋" w:hAnsi="仿宋" w:eastAsia="仿宋" w:cs="仿宋"/>
          <w:bCs/>
          <w:sz w:val="28"/>
          <w:szCs w:val="28"/>
        </w:rPr>
        <w:t>伍</w:t>
      </w:r>
      <w:r>
        <w:rPr>
          <w:rFonts w:ascii="仿宋" w:hAnsi="仿宋" w:eastAsia="仿宋" w:cs="仿宋"/>
          <w:bCs/>
          <w:sz w:val="28"/>
          <w:szCs w:val="28"/>
        </w:rPr>
        <w:t>，</w:t>
      </w:r>
      <w:r>
        <w:rPr>
          <w:rFonts w:hint="eastAsia" w:ascii="仿宋" w:hAnsi="仿宋" w:eastAsia="仿宋" w:cs="仿宋"/>
          <w:bCs/>
          <w:sz w:val="28"/>
          <w:szCs w:val="28"/>
        </w:rPr>
        <w:t>扩充</w:t>
      </w:r>
      <w:r>
        <w:rPr>
          <w:rFonts w:ascii="仿宋" w:hAnsi="仿宋" w:eastAsia="仿宋" w:cs="仿宋"/>
          <w:bCs/>
          <w:sz w:val="28"/>
          <w:szCs w:val="28"/>
        </w:rPr>
        <w:t>师</w:t>
      </w:r>
      <w:r>
        <w:rPr>
          <w:rFonts w:hint="eastAsia" w:ascii="仿宋" w:hAnsi="仿宋" w:eastAsia="仿宋" w:cs="仿宋"/>
          <w:bCs/>
          <w:sz w:val="28"/>
          <w:szCs w:val="28"/>
        </w:rPr>
        <w:t>资</w:t>
      </w:r>
      <w:r>
        <w:rPr>
          <w:rFonts w:ascii="仿宋" w:hAnsi="仿宋" w:eastAsia="仿宋" w:cs="仿宋"/>
          <w:bCs/>
          <w:sz w:val="28"/>
          <w:szCs w:val="28"/>
        </w:rPr>
        <w:t>规模，改善</w:t>
      </w:r>
      <w:r>
        <w:rPr>
          <w:rFonts w:hint="eastAsia" w:ascii="仿宋" w:hAnsi="仿宋" w:eastAsia="仿宋" w:cs="仿宋"/>
          <w:bCs/>
          <w:sz w:val="28"/>
          <w:szCs w:val="28"/>
        </w:rPr>
        <w:t>和</w:t>
      </w:r>
      <w:r>
        <w:rPr>
          <w:rFonts w:ascii="仿宋" w:hAnsi="仿宋" w:eastAsia="仿宋" w:cs="仿宋"/>
          <w:bCs/>
          <w:sz w:val="28"/>
          <w:szCs w:val="28"/>
        </w:rPr>
        <w:t>优化师资结构，</w:t>
      </w:r>
      <w:r>
        <w:rPr>
          <w:rFonts w:hint="eastAsia" w:ascii="仿宋" w:hAnsi="仿宋" w:eastAsia="仿宋" w:cs="仿宋"/>
          <w:bCs/>
          <w:sz w:val="28"/>
          <w:szCs w:val="28"/>
        </w:rPr>
        <w:t>在</w:t>
      </w:r>
      <w:r>
        <w:rPr>
          <w:rFonts w:ascii="仿宋" w:hAnsi="仿宋" w:eastAsia="仿宋" w:cs="仿宋"/>
          <w:bCs/>
          <w:sz w:val="28"/>
          <w:szCs w:val="28"/>
        </w:rPr>
        <w:t>不减少招生</w:t>
      </w:r>
      <w:r>
        <w:rPr>
          <w:rFonts w:hint="eastAsia" w:ascii="仿宋" w:hAnsi="仿宋" w:eastAsia="仿宋" w:cs="仿宋"/>
          <w:bCs/>
          <w:sz w:val="28"/>
          <w:szCs w:val="28"/>
        </w:rPr>
        <w:t>规模</w:t>
      </w:r>
      <w:r>
        <w:rPr>
          <w:rFonts w:ascii="仿宋" w:hAnsi="仿宋" w:eastAsia="仿宋" w:cs="仿宋"/>
          <w:bCs/>
          <w:sz w:val="28"/>
          <w:szCs w:val="28"/>
        </w:rPr>
        <w:t>数量的前提下，</w:t>
      </w:r>
      <w:r>
        <w:rPr>
          <w:rFonts w:hint="eastAsia" w:ascii="仿宋" w:hAnsi="仿宋" w:eastAsia="仿宋" w:cs="仿宋"/>
          <w:bCs/>
          <w:sz w:val="28"/>
          <w:szCs w:val="28"/>
        </w:rPr>
        <w:t>优化</w:t>
      </w:r>
      <w:r>
        <w:rPr>
          <w:rFonts w:ascii="仿宋" w:hAnsi="仿宋" w:eastAsia="仿宋" w:cs="仿宋"/>
          <w:bCs/>
          <w:sz w:val="28"/>
          <w:szCs w:val="28"/>
        </w:rPr>
        <w:t>专业配置，力争在</w:t>
      </w:r>
      <w:r>
        <w:rPr>
          <w:rFonts w:hint="eastAsia" w:ascii="仿宋" w:hAnsi="仿宋" w:eastAsia="仿宋" w:cs="仿宋"/>
          <w:bCs/>
          <w:sz w:val="28"/>
          <w:szCs w:val="28"/>
        </w:rPr>
        <w:t>2025年底前实现生师比达标</w:t>
      </w:r>
      <w:r>
        <w:rPr>
          <w:rFonts w:ascii="仿宋" w:hAnsi="仿宋" w:eastAsia="仿宋" w:cs="仿宋"/>
          <w:bCs/>
          <w:sz w:val="28"/>
          <w:szCs w:val="28"/>
        </w:rPr>
        <w:t>。</w:t>
      </w:r>
    </w:p>
    <w:p>
      <w:pPr>
        <w:keepNext/>
        <w:keepLines/>
        <w:spacing w:line="540" w:lineRule="exact"/>
        <w:ind w:firstLine="562" w:firstLineChars="200"/>
        <w:outlineLvl w:val="3"/>
        <w:rPr>
          <w:rFonts w:ascii="Times New Roman" w:hAnsi="Times New Roman" w:eastAsia="仿宋"/>
          <w:b/>
          <w:sz w:val="28"/>
          <w:szCs w:val="28"/>
        </w:rPr>
      </w:pPr>
      <w:r>
        <w:rPr>
          <w:rFonts w:hint="eastAsia" w:ascii="Times New Roman" w:hAnsi="Times New Roman" w:eastAsia="仿宋"/>
          <w:b/>
          <w:sz w:val="28"/>
          <w:szCs w:val="28"/>
        </w:rPr>
        <w:t>（3）建设目标</w:t>
      </w:r>
    </w:p>
    <w:p>
      <w:pPr>
        <w:spacing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深入实施“人才强校”战略，遵循“四有”好老师标准，在2023年、2024年、2025年逐年引进专任教师290人，争取在2025年底前专任教师数量规模达660人，控制生师比在18：1之内，打造一支德才兼备、数量充足、素质优良、结构合理、专兼结合、特色鲜明的高水平师资队伍。</w:t>
      </w:r>
    </w:p>
    <w:p>
      <w:pPr>
        <w:keepNext/>
        <w:keepLines/>
        <w:spacing w:line="540" w:lineRule="exact"/>
        <w:ind w:firstLine="562" w:firstLineChars="200"/>
        <w:outlineLvl w:val="3"/>
        <w:rPr>
          <w:rFonts w:ascii="Times New Roman" w:hAnsi="Times New Roman" w:eastAsia="仿宋"/>
          <w:b/>
          <w:sz w:val="28"/>
          <w:szCs w:val="28"/>
        </w:rPr>
      </w:pPr>
      <w:r>
        <w:rPr>
          <w:rFonts w:hint="eastAsia" w:ascii="Times New Roman" w:hAnsi="Times New Roman" w:eastAsia="仿宋"/>
          <w:b/>
          <w:sz w:val="28"/>
          <w:szCs w:val="28"/>
        </w:rPr>
        <w:t>（4）重点</w:t>
      </w:r>
      <w:r>
        <w:rPr>
          <w:rFonts w:ascii="Times New Roman" w:hAnsi="Times New Roman" w:eastAsia="仿宋"/>
          <w:b/>
          <w:sz w:val="28"/>
          <w:szCs w:val="28"/>
        </w:rPr>
        <w:t>建设</w:t>
      </w:r>
      <w:r>
        <w:rPr>
          <w:rFonts w:hint="eastAsia" w:ascii="Times New Roman" w:hAnsi="Times New Roman" w:eastAsia="仿宋"/>
          <w:b/>
          <w:sz w:val="28"/>
          <w:szCs w:val="28"/>
        </w:rPr>
        <w:t>任务</w:t>
      </w:r>
    </w:p>
    <w:p>
      <w:pPr>
        <w:spacing w:line="540" w:lineRule="exact"/>
        <w:ind w:firstLine="562" w:firstLineChars="200"/>
        <w:rPr>
          <w:rFonts w:ascii="仿宋" w:hAnsi="仿宋" w:eastAsia="仿宋" w:cs="仿宋"/>
          <w:b/>
          <w:sz w:val="28"/>
          <w:szCs w:val="28"/>
        </w:rPr>
      </w:pPr>
      <w:r>
        <w:rPr>
          <w:rFonts w:ascii="仿宋" w:hAnsi="仿宋" w:eastAsia="仿宋" w:cs="仿宋"/>
          <w:b/>
          <w:sz w:val="28"/>
          <w:szCs w:val="28"/>
        </w:rPr>
        <w:fldChar w:fldCharType="begin"/>
      </w:r>
      <w:r>
        <w:rPr>
          <w:rFonts w:ascii="仿宋" w:hAnsi="仿宋" w:eastAsia="仿宋" w:cs="仿宋"/>
          <w:b/>
          <w:sz w:val="28"/>
          <w:szCs w:val="28"/>
        </w:rPr>
        <w:instrText xml:space="preserve"> </w:instrText>
      </w:r>
      <w:r>
        <w:rPr>
          <w:rFonts w:hint="eastAsia" w:ascii="仿宋" w:hAnsi="仿宋" w:eastAsia="仿宋" w:cs="仿宋"/>
          <w:b/>
          <w:sz w:val="28"/>
          <w:szCs w:val="28"/>
        </w:rPr>
        <w:instrText xml:space="preserve">= 1 \* GB3</w:instrText>
      </w:r>
      <w:r>
        <w:rPr>
          <w:rFonts w:ascii="仿宋" w:hAnsi="仿宋" w:eastAsia="仿宋" w:cs="仿宋"/>
          <w:b/>
          <w:sz w:val="28"/>
          <w:szCs w:val="28"/>
        </w:rPr>
        <w:instrText xml:space="preserve"> </w:instrText>
      </w:r>
      <w:r>
        <w:rPr>
          <w:rFonts w:ascii="仿宋" w:hAnsi="仿宋" w:eastAsia="仿宋" w:cs="仿宋"/>
          <w:b/>
          <w:sz w:val="28"/>
          <w:szCs w:val="28"/>
        </w:rPr>
        <w:fldChar w:fldCharType="separate"/>
      </w:r>
      <w:r>
        <w:rPr>
          <w:rFonts w:hint="eastAsia" w:ascii="仿宋" w:hAnsi="仿宋" w:eastAsia="仿宋" w:cs="仿宋"/>
          <w:b/>
          <w:sz w:val="28"/>
          <w:szCs w:val="28"/>
        </w:rPr>
        <w:t>①</w:t>
      </w:r>
      <w:r>
        <w:rPr>
          <w:rFonts w:ascii="仿宋" w:hAnsi="仿宋" w:eastAsia="仿宋" w:cs="仿宋"/>
          <w:b/>
          <w:sz w:val="28"/>
          <w:szCs w:val="28"/>
        </w:rPr>
        <w:fldChar w:fldCharType="end"/>
      </w:r>
      <w:r>
        <w:rPr>
          <w:rFonts w:hint="eastAsia" w:ascii="仿宋" w:hAnsi="仿宋" w:eastAsia="仿宋" w:cs="仿宋"/>
          <w:b/>
          <w:sz w:val="28"/>
          <w:szCs w:val="28"/>
        </w:rPr>
        <w:t xml:space="preserve"> 大力培育</w:t>
      </w:r>
      <w:r>
        <w:rPr>
          <w:rFonts w:ascii="仿宋" w:hAnsi="仿宋" w:eastAsia="仿宋" w:cs="仿宋"/>
          <w:b/>
          <w:sz w:val="28"/>
          <w:szCs w:val="28"/>
        </w:rPr>
        <w:t>校本师资队伍，提升师资</w:t>
      </w:r>
      <w:r>
        <w:rPr>
          <w:rFonts w:hint="eastAsia" w:ascii="仿宋" w:hAnsi="仿宋" w:eastAsia="仿宋" w:cs="仿宋"/>
          <w:b/>
          <w:sz w:val="28"/>
          <w:szCs w:val="28"/>
        </w:rPr>
        <w:t>水平</w:t>
      </w:r>
    </w:p>
    <w:p>
      <w:pPr>
        <w:spacing w:line="540" w:lineRule="exact"/>
        <w:ind w:firstLine="560" w:firstLineChars="200"/>
        <w:rPr>
          <w:rFonts w:ascii="仿宋" w:hAnsi="仿宋" w:eastAsia="仿宋" w:cs="仿宋"/>
          <w:bCs/>
          <w:sz w:val="28"/>
          <w:szCs w:val="28"/>
        </w:rPr>
      </w:pPr>
      <w:r>
        <w:rPr>
          <w:rFonts w:hint="eastAsia" w:ascii="仿宋" w:hAnsi="仿宋" w:eastAsia="仿宋" w:cs="仿宋"/>
          <w:sz w:val="28"/>
          <w:szCs w:val="28"/>
        </w:rPr>
        <w:t>坚持党</w:t>
      </w:r>
      <w:r>
        <w:rPr>
          <w:rFonts w:ascii="仿宋" w:hAnsi="仿宋" w:eastAsia="仿宋" w:cs="仿宋"/>
          <w:sz w:val="28"/>
          <w:szCs w:val="28"/>
        </w:rPr>
        <w:t>建</w:t>
      </w:r>
      <w:r>
        <w:rPr>
          <w:rFonts w:hint="eastAsia" w:ascii="仿宋" w:hAnsi="仿宋" w:eastAsia="仿宋" w:cs="仿宋"/>
          <w:sz w:val="28"/>
          <w:szCs w:val="28"/>
        </w:rPr>
        <w:t>引导</w:t>
      </w:r>
      <w:r>
        <w:rPr>
          <w:rFonts w:ascii="仿宋" w:hAnsi="仿宋" w:eastAsia="仿宋" w:cs="仿宋"/>
          <w:sz w:val="28"/>
          <w:szCs w:val="28"/>
        </w:rPr>
        <w:t>，从思想上高度重视师资</w:t>
      </w:r>
      <w:r>
        <w:rPr>
          <w:rFonts w:hint="eastAsia" w:ascii="仿宋" w:hAnsi="仿宋" w:eastAsia="仿宋" w:cs="仿宋"/>
          <w:sz w:val="28"/>
          <w:szCs w:val="28"/>
        </w:rPr>
        <w:t>队伍</w:t>
      </w:r>
      <w:r>
        <w:rPr>
          <w:rFonts w:ascii="仿宋" w:hAnsi="仿宋" w:eastAsia="仿宋" w:cs="仿宋"/>
          <w:sz w:val="28"/>
          <w:szCs w:val="28"/>
        </w:rPr>
        <w:t>建设，</w:t>
      </w:r>
      <w:r>
        <w:rPr>
          <w:rFonts w:hint="eastAsia" w:ascii="仿宋" w:hAnsi="仿宋" w:eastAsia="仿宋" w:cs="仿宋"/>
          <w:bCs/>
          <w:sz w:val="28"/>
          <w:szCs w:val="28"/>
        </w:rPr>
        <w:t>以高度的政治责任感和使命感做牢做</w:t>
      </w:r>
      <w:r>
        <w:rPr>
          <w:rFonts w:ascii="仿宋" w:hAnsi="仿宋" w:eastAsia="仿宋" w:cs="仿宋"/>
          <w:bCs/>
          <w:sz w:val="28"/>
          <w:szCs w:val="28"/>
        </w:rPr>
        <w:t>实师资培育。</w:t>
      </w:r>
      <w:r>
        <w:rPr>
          <w:rFonts w:hint="eastAsia" w:ascii="仿宋" w:hAnsi="仿宋" w:eastAsia="仿宋" w:cs="仿宋"/>
          <w:bCs/>
          <w:sz w:val="28"/>
          <w:szCs w:val="28"/>
        </w:rPr>
        <w:t>一是</w:t>
      </w:r>
      <w:r>
        <w:rPr>
          <w:rFonts w:ascii="仿宋" w:hAnsi="仿宋" w:eastAsia="仿宋" w:cs="仿宋"/>
          <w:bCs/>
          <w:sz w:val="28"/>
          <w:szCs w:val="28"/>
        </w:rPr>
        <w:t>坚持抓好师德师风建设，</w:t>
      </w:r>
      <w:r>
        <w:rPr>
          <w:rFonts w:hint="eastAsia" w:ascii="仿宋" w:hAnsi="仿宋" w:eastAsia="仿宋" w:cs="仿宋"/>
          <w:bCs/>
          <w:sz w:val="28"/>
          <w:szCs w:val="28"/>
        </w:rPr>
        <w:t>严</w:t>
      </w:r>
      <w:r>
        <w:rPr>
          <w:rFonts w:ascii="仿宋" w:hAnsi="仿宋" w:eastAsia="仿宋" w:cs="仿宋"/>
          <w:bCs/>
          <w:sz w:val="28"/>
          <w:szCs w:val="28"/>
        </w:rPr>
        <w:t>把</w:t>
      </w:r>
      <w:r>
        <w:rPr>
          <w:rFonts w:hint="eastAsia" w:ascii="仿宋" w:hAnsi="仿宋" w:eastAsia="仿宋" w:cs="仿宋"/>
          <w:bCs/>
          <w:sz w:val="28"/>
          <w:szCs w:val="28"/>
        </w:rPr>
        <w:t>意识形态关口</w:t>
      </w:r>
      <w:r>
        <w:rPr>
          <w:rFonts w:ascii="仿宋" w:hAnsi="仿宋" w:eastAsia="仿宋" w:cs="仿宋"/>
          <w:bCs/>
          <w:sz w:val="28"/>
          <w:szCs w:val="28"/>
        </w:rPr>
        <w:t>，</w:t>
      </w:r>
      <w:r>
        <w:rPr>
          <w:rFonts w:hint="eastAsia" w:ascii="仿宋" w:hAnsi="仿宋" w:eastAsia="仿宋" w:cs="仿宋"/>
          <w:bCs/>
          <w:sz w:val="28"/>
          <w:szCs w:val="28"/>
        </w:rPr>
        <w:t>牢记</w:t>
      </w:r>
      <w:r>
        <w:rPr>
          <w:rFonts w:ascii="仿宋" w:hAnsi="仿宋" w:eastAsia="仿宋" w:cs="仿宋"/>
          <w:bCs/>
          <w:sz w:val="28"/>
          <w:szCs w:val="28"/>
        </w:rPr>
        <w:t>教育为</w:t>
      </w:r>
      <w:r>
        <w:rPr>
          <w:rFonts w:hint="eastAsia" w:ascii="仿宋" w:hAnsi="仿宋" w:eastAsia="仿宋" w:cs="仿宋"/>
          <w:bCs/>
          <w:sz w:val="28"/>
          <w:szCs w:val="28"/>
        </w:rPr>
        <w:t>国</w:t>
      </w:r>
      <w:r>
        <w:rPr>
          <w:rFonts w:ascii="仿宋" w:hAnsi="仿宋" w:eastAsia="仿宋" w:cs="仿宋"/>
          <w:bCs/>
          <w:sz w:val="28"/>
          <w:szCs w:val="28"/>
        </w:rPr>
        <w:t>育才，为党育人</w:t>
      </w:r>
      <w:r>
        <w:rPr>
          <w:rFonts w:hint="eastAsia" w:ascii="仿宋" w:hAnsi="仿宋" w:eastAsia="仿宋" w:cs="仿宋"/>
          <w:bCs/>
          <w:sz w:val="28"/>
          <w:szCs w:val="28"/>
        </w:rPr>
        <w:t>的</w:t>
      </w:r>
      <w:r>
        <w:rPr>
          <w:rFonts w:ascii="仿宋" w:hAnsi="仿宋" w:eastAsia="仿宋" w:cs="仿宋"/>
          <w:bCs/>
          <w:sz w:val="28"/>
          <w:szCs w:val="28"/>
        </w:rPr>
        <w:t>宗旨和使命</w:t>
      </w:r>
      <w:r>
        <w:rPr>
          <w:rFonts w:hint="eastAsia" w:ascii="仿宋" w:hAnsi="仿宋" w:eastAsia="仿宋" w:cs="仿宋"/>
          <w:bCs/>
          <w:sz w:val="28"/>
          <w:szCs w:val="28"/>
        </w:rPr>
        <w:t>。二是</w:t>
      </w:r>
      <w:r>
        <w:rPr>
          <w:rFonts w:ascii="仿宋" w:hAnsi="仿宋" w:eastAsia="仿宋" w:cs="仿宋"/>
          <w:bCs/>
          <w:sz w:val="28"/>
          <w:szCs w:val="28"/>
        </w:rPr>
        <w:t>强化师</w:t>
      </w:r>
      <w:r>
        <w:rPr>
          <w:rFonts w:hint="eastAsia" w:ascii="仿宋" w:hAnsi="仿宋" w:eastAsia="仿宋" w:cs="仿宋"/>
          <w:bCs/>
          <w:sz w:val="28"/>
          <w:szCs w:val="28"/>
        </w:rPr>
        <w:t>资</w:t>
      </w:r>
      <w:r>
        <w:rPr>
          <w:rFonts w:ascii="仿宋" w:hAnsi="仿宋" w:eastAsia="仿宋" w:cs="仿宋"/>
          <w:bCs/>
          <w:sz w:val="28"/>
          <w:szCs w:val="28"/>
        </w:rPr>
        <w:t>队伍的教学和科研水平，</w:t>
      </w:r>
      <w:r>
        <w:rPr>
          <w:rFonts w:hint="eastAsia" w:ascii="仿宋" w:hAnsi="仿宋" w:eastAsia="仿宋" w:cs="仿宋"/>
          <w:bCs/>
          <w:sz w:val="28"/>
          <w:szCs w:val="28"/>
        </w:rPr>
        <w:t>搭建</w:t>
      </w:r>
      <w:r>
        <w:rPr>
          <w:rFonts w:ascii="仿宋" w:hAnsi="仿宋" w:eastAsia="仿宋" w:cs="仿宋"/>
          <w:bCs/>
          <w:sz w:val="28"/>
          <w:szCs w:val="28"/>
        </w:rPr>
        <w:t>好教学和科研平台，为教</w:t>
      </w:r>
      <w:r>
        <w:rPr>
          <w:rFonts w:hint="eastAsia" w:ascii="仿宋" w:hAnsi="仿宋" w:eastAsia="仿宋" w:cs="仿宋"/>
          <w:bCs/>
          <w:sz w:val="28"/>
          <w:szCs w:val="28"/>
        </w:rPr>
        <w:t>师</w:t>
      </w:r>
      <w:r>
        <w:rPr>
          <w:rFonts w:ascii="仿宋" w:hAnsi="仿宋" w:eastAsia="仿宋" w:cs="仿宋"/>
          <w:bCs/>
          <w:sz w:val="28"/>
          <w:szCs w:val="28"/>
        </w:rPr>
        <w:t>发展服务。三是</w:t>
      </w:r>
      <w:r>
        <w:rPr>
          <w:rFonts w:hint="eastAsia" w:ascii="仿宋" w:hAnsi="仿宋" w:eastAsia="仿宋" w:cs="仿宋"/>
          <w:bCs/>
          <w:sz w:val="28"/>
          <w:szCs w:val="28"/>
        </w:rPr>
        <w:t>加强和落实</w:t>
      </w:r>
      <w:r>
        <w:rPr>
          <w:rFonts w:ascii="仿宋" w:hAnsi="仿宋" w:eastAsia="仿宋" w:cs="仿宋"/>
          <w:bCs/>
          <w:sz w:val="28"/>
          <w:szCs w:val="28"/>
        </w:rPr>
        <w:t>各项教师培</w:t>
      </w:r>
      <w:r>
        <w:rPr>
          <w:rFonts w:hint="eastAsia" w:ascii="仿宋" w:hAnsi="仿宋" w:eastAsia="仿宋" w:cs="仿宋"/>
          <w:bCs/>
          <w:sz w:val="28"/>
          <w:szCs w:val="28"/>
        </w:rPr>
        <w:t>训</w:t>
      </w:r>
      <w:r>
        <w:rPr>
          <w:rFonts w:ascii="仿宋" w:hAnsi="仿宋" w:eastAsia="仿宋" w:cs="仿宋"/>
          <w:bCs/>
          <w:sz w:val="28"/>
          <w:szCs w:val="28"/>
        </w:rPr>
        <w:t>，</w:t>
      </w:r>
      <w:r>
        <w:rPr>
          <w:rFonts w:hint="eastAsia" w:ascii="仿宋" w:hAnsi="仿宋" w:eastAsia="仿宋" w:cs="仿宋"/>
          <w:bCs/>
          <w:sz w:val="28"/>
          <w:szCs w:val="28"/>
        </w:rPr>
        <w:t>全</w:t>
      </w:r>
      <w:r>
        <w:rPr>
          <w:rFonts w:ascii="仿宋" w:hAnsi="仿宋" w:eastAsia="仿宋" w:cs="仿宋"/>
          <w:bCs/>
          <w:sz w:val="28"/>
          <w:szCs w:val="28"/>
        </w:rPr>
        <w:t>方位强化教师技术</w:t>
      </w:r>
      <w:r>
        <w:rPr>
          <w:rFonts w:hint="eastAsia" w:ascii="仿宋" w:hAnsi="仿宋" w:eastAsia="仿宋" w:cs="仿宋"/>
          <w:bCs/>
          <w:sz w:val="28"/>
          <w:szCs w:val="28"/>
        </w:rPr>
        <w:t>技能</w:t>
      </w:r>
      <w:r>
        <w:rPr>
          <w:rFonts w:ascii="仿宋" w:hAnsi="仿宋" w:eastAsia="仿宋" w:cs="仿宋"/>
          <w:bCs/>
          <w:sz w:val="28"/>
          <w:szCs w:val="28"/>
        </w:rPr>
        <w:t>水平。</w:t>
      </w:r>
    </w:p>
    <w:p>
      <w:pPr>
        <w:spacing w:line="540" w:lineRule="exact"/>
        <w:ind w:firstLine="562" w:firstLineChars="200"/>
        <w:rPr>
          <w:rFonts w:ascii="仿宋" w:hAnsi="仿宋" w:eastAsia="仿宋" w:cs="仿宋"/>
          <w:b/>
          <w:sz w:val="28"/>
          <w:szCs w:val="28"/>
        </w:rPr>
      </w:pPr>
      <w:r>
        <w:rPr>
          <w:rFonts w:ascii="仿宋" w:hAnsi="仿宋" w:eastAsia="仿宋" w:cs="仿宋"/>
          <w:b/>
          <w:sz w:val="28"/>
          <w:szCs w:val="28"/>
        </w:rPr>
        <w:fldChar w:fldCharType="begin"/>
      </w:r>
      <w:r>
        <w:rPr>
          <w:rFonts w:ascii="仿宋" w:hAnsi="仿宋" w:eastAsia="仿宋" w:cs="仿宋"/>
          <w:b/>
          <w:sz w:val="28"/>
          <w:szCs w:val="28"/>
        </w:rPr>
        <w:instrText xml:space="preserve"> </w:instrText>
      </w:r>
      <w:r>
        <w:rPr>
          <w:rFonts w:hint="eastAsia" w:ascii="仿宋" w:hAnsi="仿宋" w:eastAsia="仿宋" w:cs="仿宋"/>
          <w:b/>
          <w:sz w:val="28"/>
          <w:szCs w:val="28"/>
        </w:rPr>
        <w:instrText xml:space="preserve">= 2 \* GB3</w:instrText>
      </w:r>
      <w:r>
        <w:rPr>
          <w:rFonts w:ascii="仿宋" w:hAnsi="仿宋" w:eastAsia="仿宋" w:cs="仿宋"/>
          <w:b/>
          <w:sz w:val="28"/>
          <w:szCs w:val="28"/>
        </w:rPr>
        <w:instrText xml:space="preserve"> </w:instrText>
      </w:r>
      <w:r>
        <w:rPr>
          <w:rFonts w:ascii="仿宋" w:hAnsi="仿宋" w:eastAsia="仿宋" w:cs="仿宋"/>
          <w:b/>
          <w:sz w:val="28"/>
          <w:szCs w:val="28"/>
        </w:rPr>
        <w:fldChar w:fldCharType="separate"/>
      </w:r>
      <w:r>
        <w:rPr>
          <w:rFonts w:hint="eastAsia" w:ascii="仿宋" w:hAnsi="仿宋" w:eastAsia="仿宋" w:cs="仿宋"/>
          <w:b/>
          <w:sz w:val="28"/>
          <w:szCs w:val="28"/>
        </w:rPr>
        <w:t>②</w:t>
      </w:r>
      <w:r>
        <w:rPr>
          <w:rFonts w:ascii="仿宋" w:hAnsi="仿宋" w:eastAsia="仿宋" w:cs="仿宋"/>
          <w:b/>
          <w:sz w:val="28"/>
          <w:szCs w:val="28"/>
        </w:rPr>
        <w:fldChar w:fldCharType="end"/>
      </w:r>
      <w:r>
        <w:rPr>
          <w:rFonts w:hint="eastAsia" w:ascii="仿宋" w:hAnsi="仿宋" w:eastAsia="仿宋" w:cs="仿宋"/>
          <w:b/>
          <w:sz w:val="28"/>
          <w:szCs w:val="28"/>
        </w:rPr>
        <w:t xml:space="preserve"> 实施</w:t>
      </w:r>
      <w:r>
        <w:rPr>
          <w:rFonts w:ascii="仿宋" w:hAnsi="仿宋" w:eastAsia="仿宋" w:cs="仿宋"/>
          <w:b/>
          <w:sz w:val="28"/>
          <w:szCs w:val="28"/>
        </w:rPr>
        <w:t>“</w:t>
      </w:r>
      <w:r>
        <w:rPr>
          <w:rFonts w:hint="eastAsia" w:ascii="仿宋" w:hAnsi="仿宋" w:eastAsia="仿宋" w:cs="仿宋"/>
          <w:b/>
          <w:sz w:val="28"/>
          <w:szCs w:val="28"/>
        </w:rPr>
        <w:t>筑巢</w:t>
      </w:r>
      <w:r>
        <w:rPr>
          <w:rFonts w:ascii="仿宋" w:hAnsi="仿宋" w:eastAsia="仿宋" w:cs="仿宋"/>
          <w:b/>
          <w:sz w:val="28"/>
          <w:szCs w:val="28"/>
        </w:rPr>
        <w:t>引凤”工程，</w:t>
      </w:r>
      <w:r>
        <w:rPr>
          <w:rFonts w:hint="eastAsia" w:ascii="仿宋" w:hAnsi="仿宋" w:eastAsia="仿宋" w:cs="仿宋"/>
          <w:b/>
          <w:sz w:val="28"/>
          <w:szCs w:val="28"/>
        </w:rPr>
        <w:t>坚持“</w:t>
      </w:r>
      <w:r>
        <w:rPr>
          <w:rFonts w:ascii="仿宋" w:hAnsi="仿宋" w:eastAsia="仿宋" w:cs="仿宋"/>
          <w:b/>
          <w:sz w:val="28"/>
          <w:szCs w:val="28"/>
        </w:rPr>
        <w:t>走出去</w:t>
      </w:r>
      <w:r>
        <w:rPr>
          <w:rFonts w:hint="eastAsia" w:ascii="仿宋" w:hAnsi="仿宋" w:eastAsia="仿宋" w:cs="仿宋"/>
          <w:b/>
          <w:sz w:val="28"/>
          <w:szCs w:val="28"/>
        </w:rPr>
        <w:t>”</w:t>
      </w:r>
      <w:r>
        <w:rPr>
          <w:rFonts w:ascii="仿宋" w:hAnsi="仿宋" w:eastAsia="仿宋" w:cs="仿宋"/>
          <w:b/>
          <w:sz w:val="28"/>
          <w:szCs w:val="28"/>
        </w:rPr>
        <w:t>战略</w:t>
      </w:r>
    </w:p>
    <w:p>
      <w:pPr>
        <w:spacing w:line="540" w:lineRule="exact"/>
        <w:ind w:firstLine="560" w:firstLineChars="200"/>
        <w:rPr>
          <w:rFonts w:ascii="仿宋" w:hAnsi="仿宋" w:eastAsia="仿宋" w:cs="仿宋"/>
          <w:bCs/>
          <w:sz w:val="28"/>
          <w:szCs w:val="28"/>
        </w:rPr>
      </w:pPr>
      <w:r>
        <w:rPr>
          <w:rFonts w:hint="eastAsia" w:ascii="仿宋" w:hAnsi="仿宋" w:eastAsia="仿宋" w:cs="仿宋"/>
          <w:sz w:val="28"/>
          <w:szCs w:val="28"/>
        </w:rPr>
        <w:t>一</w:t>
      </w:r>
      <w:r>
        <w:rPr>
          <w:rFonts w:ascii="仿宋" w:hAnsi="仿宋" w:eastAsia="仿宋" w:cs="仿宋"/>
          <w:sz w:val="28"/>
          <w:szCs w:val="28"/>
        </w:rPr>
        <w:t>方面</w:t>
      </w:r>
      <w:r>
        <w:rPr>
          <w:rFonts w:hint="eastAsia" w:ascii="仿宋" w:hAnsi="仿宋" w:eastAsia="仿宋" w:cs="仿宋"/>
          <w:sz w:val="28"/>
          <w:szCs w:val="28"/>
        </w:rPr>
        <w:t>学院坚持</w:t>
      </w:r>
      <w:r>
        <w:rPr>
          <w:rFonts w:ascii="仿宋" w:hAnsi="仿宋" w:eastAsia="仿宋" w:cs="仿宋"/>
          <w:sz w:val="28"/>
          <w:szCs w:val="28"/>
        </w:rPr>
        <w:t>以优质待遇和安家条件吸引高层次水平人才</w:t>
      </w:r>
      <w:r>
        <w:rPr>
          <w:rFonts w:hint="eastAsia" w:ascii="仿宋" w:hAnsi="仿宋" w:eastAsia="仿宋" w:cs="仿宋"/>
          <w:sz w:val="28"/>
          <w:szCs w:val="28"/>
        </w:rPr>
        <w:t>；</w:t>
      </w:r>
      <w:r>
        <w:rPr>
          <w:rFonts w:ascii="仿宋" w:hAnsi="仿宋" w:eastAsia="仿宋" w:cs="仿宋"/>
          <w:sz w:val="28"/>
          <w:szCs w:val="28"/>
        </w:rPr>
        <w:t>一方面通过“走出去”战略，走出</w:t>
      </w:r>
      <w:r>
        <w:rPr>
          <w:rFonts w:hint="eastAsia" w:ascii="仿宋" w:hAnsi="仿宋" w:eastAsia="仿宋" w:cs="仿宋"/>
          <w:sz w:val="28"/>
          <w:szCs w:val="28"/>
        </w:rPr>
        <w:t>校</w:t>
      </w:r>
      <w:r>
        <w:rPr>
          <w:rFonts w:ascii="仿宋" w:hAnsi="仿宋" w:eastAsia="仿宋" w:cs="仿宋"/>
          <w:sz w:val="28"/>
          <w:szCs w:val="28"/>
        </w:rPr>
        <w:t>园，走到各大高水平院校招聘具有博士</w:t>
      </w:r>
      <w:r>
        <w:rPr>
          <w:rFonts w:hint="eastAsia" w:ascii="仿宋" w:hAnsi="仿宋" w:eastAsia="仿宋" w:cs="仿宋"/>
          <w:sz w:val="28"/>
          <w:szCs w:val="28"/>
        </w:rPr>
        <w:t>学位</w:t>
      </w:r>
      <w:r>
        <w:rPr>
          <w:rFonts w:ascii="仿宋" w:hAnsi="仿宋" w:eastAsia="仿宋" w:cs="仿宋"/>
          <w:sz w:val="28"/>
          <w:szCs w:val="28"/>
        </w:rPr>
        <w:t>水平高素质人才，走到各大企业</w:t>
      </w:r>
      <w:r>
        <w:rPr>
          <w:rFonts w:hint="eastAsia" w:ascii="仿宋" w:hAnsi="仿宋" w:eastAsia="仿宋" w:cs="仿宋"/>
          <w:sz w:val="28"/>
          <w:szCs w:val="28"/>
        </w:rPr>
        <w:t>招聘</w:t>
      </w:r>
      <w:r>
        <w:rPr>
          <w:rFonts w:ascii="仿宋" w:hAnsi="仿宋" w:eastAsia="仿宋" w:cs="仿宋"/>
          <w:sz w:val="28"/>
          <w:szCs w:val="28"/>
        </w:rPr>
        <w:t>具有一定企业经验的高技术技能型人才</w:t>
      </w:r>
      <w:r>
        <w:rPr>
          <w:rFonts w:hint="eastAsia" w:ascii="仿宋" w:hAnsi="仿宋" w:eastAsia="仿宋" w:cs="仿宋"/>
          <w:sz w:val="28"/>
          <w:szCs w:val="28"/>
        </w:rPr>
        <w:t>充实</w:t>
      </w:r>
      <w:r>
        <w:rPr>
          <w:rFonts w:ascii="仿宋" w:hAnsi="仿宋" w:eastAsia="仿宋" w:cs="仿宋"/>
          <w:sz w:val="28"/>
          <w:szCs w:val="28"/>
        </w:rPr>
        <w:t>教师队伍。</w:t>
      </w:r>
    </w:p>
    <w:p>
      <w:pPr>
        <w:spacing w:line="540" w:lineRule="exact"/>
        <w:ind w:firstLine="562" w:firstLineChars="200"/>
        <w:rPr>
          <w:rFonts w:ascii="仿宋" w:hAnsi="仿宋" w:eastAsia="仿宋" w:cs="仿宋"/>
          <w:b/>
          <w:sz w:val="28"/>
          <w:szCs w:val="28"/>
        </w:rPr>
      </w:pPr>
      <w:r>
        <w:rPr>
          <w:rFonts w:ascii="仿宋" w:hAnsi="仿宋" w:eastAsia="仿宋" w:cs="仿宋"/>
          <w:b/>
          <w:sz w:val="28"/>
          <w:szCs w:val="28"/>
        </w:rPr>
        <w:fldChar w:fldCharType="begin"/>
      </w:r>
      <w:r>
        <w:rPr>
          <w:rFonts w:ascii="仿宋" w:hAnsi="仿宋" w:eastAsia="仿宋" w:cs="仿宋"/>
          <w:b/>
          <w:sz w:val="28"/>
          <w:szCs w:val="28"/>
        </w:rPr>
        <w:instrText xml:space="preserve"> </w:instrText>
      </w:r>
      <w:r>
        <w:rPr>
          <w:rFonts w:hint="eastAsia" w:ascii="仿宋" w:hAnsi="仿宋" w:eastAsia="仿宋" w:cs="仿宋"/>
          <w:b/>
          <w:sz w:val="28"/>
          <w:szCs w:val="28"/>
        </w:rPr>
        <w:instrText xml:space="preserve">= 3 \* GB3</w:instrText>
      </w:r>
      <w:r>
        <w:rPr>
          <w:rFonts w:ascii="仿宋" w:hAnsi="仿宋" w:eastAsia="仿宋" w:cs="仿宋"/>
          <w:b/>
          <w:sz w:val="28"/>
          <w:szCs w:val="28"/>
        </w:rPr>
        <w:instrText xml:space="preserve"> </w:instrText>
      </w:r>
      <w:r>
        <w:rPr>
          <w:rFonts w:ascii="仿宋" w:hAnsi="仿宋" w:eastAsia="仿宋" w:cs="仿宋"/>
          <w:b/>
          <w:sz w:val="28"/>
          <w:szCs w:val="28"/>
        </w:rPr>
        <w:fldChar w:fldCharType="separate"/>
      </w:r>
      <w:r>
        <w:rPr>
          <w:rFonts w:hint="eastAsia" w:ascii="仿宋" w:hAnsi="仿宋" w:eastAsia="仿宋" w:cs="仿宋"/>
          <w:b/>
          <w:sz w:val="28"/>
          <w:szCs w:val="28"/>
        </w:rPr>
        <w:t>③</w:t>
      </w:r>
      <w:r>
        <w:rPr>
          <w:rFonts w:ascii="仿宋" w:hAnsi="仿宋" w:eastAsia="仿宋" w:cs="仿宋"/>
          <w:b/>
          <w:sz w:val="28"/>
          <w:szCs w:val="28"/>
        </w:rPr>
        <w:fldChar w:fldCharType="end"/>
      </w:r>
      <w:r>
        <w:rPr>
          <w:rFonts w:hint="eastAsia" w:ascii="仿宋" w:hAnsi="仿宋" w:eastAsia="仿宋" w:cs="仿宋"/>
          <w:b/>
          <w:sz w:val="28"/>
          <w:szCs w:val="28"/>
        </w:rPr>
        <w:t xml:space="preserve"> 争取地方</w:t>
      </w:r>
      <w:r>
        <w:rPr>
          <w:rFonts w:ascii="仿宋" w:hAnsi="仿宋" w:eastAsia="仿宋" w:cs="仿宋"/>
          <w:b/>
          <w:sz w:val="28"/>
          <w:szCs w:val="28"/>
        </w:rPr>
        <w:t>政府</w:t>
      </w:r>
      <w:r>
        <w:rPr>
          <w:rFonts w:hint="eastAsia" w:ascii="仿宋" w:hAnsi="仿宋" w:eastAsia="仿宋" w:cs="仿宋"/>
          <w:b/>
          <w:sz w:val="28"/>
          <w:szCs w:val="28"/>
        </w:rPr>
        <w:t>在</w:t>
      </w:r>
      <w:r>
        <w:rPr>
          <w:rFonts w:ascii="仿宋" w:hAnsi="仿宋" w:eastAsia="仿宋" w:cs="仿宋"/>
          <w:b/>
          <w:sz w:val="28"/>
          <w:szCs w:val="28"/>
        </w:rPr>
        <w:t>编制数量和办学经费上</w:t>
      </w:r>
      <w:r>
        <w:rPr>
          <w:rFonts w:hint="eastAsia" w:ascii="仿宋" w:hAnsi="仿宋" w:eastAsia="仿宋" w:cs="仿宋"/>
          <w:b/>
          <w:sz w:val="28"/>
          <w:szCs w:val="28"/>
        </w:rPr>
        <w:t>给予</w:t>
      </w:r>
      <w:r>
        <w:rPr>
          <w:rFonts w:ascii="仿宋" w:hAnsi="仿宋" w:eastAsia="仿宋" w:cs="仿宋"/>
          <w:b/>
          <w:sz w:val="28"/>
          <w:szCs w:val="28"/>
        </w:rPr>
        <w:t>支持</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学院目前人</w:t>
      </w:r>
      <w:r>
        <w:rPr>
          <w:rFonts w:ascii="仿宋" w:hAnsi="仿宋" w:eastAsia="仿宋" w:cs="仿宋"/>
          <w:sz w:val="28"/>
          <w:szCs w:val="28"/>
        </w:rPr>
        <w:t>员编制严重不足，办学经费捉襟见肘，</w:t>
      </w:r>
      <w:r>
        <w:rPr>
          <w:rFonts w:hint="eastAsia" w:ascii="仿宋" w:hAnsi="仿宋" w:eastAsia="仿宋" w:cs="仿宋"/>
          <w:sz w:val="28"/>
          <w:szCs w:val="28"/>
        </w:rPr>
        <w:t>学院在法律</w:t>
      </w:r>
      <w:r>
        <w:rPr>
          <w:rFonts w:ascii="仿宋" w:hAnsi="仿宋" w:eastAsia="仿宋" w:cs="仿宋"/>
          <w:sz w:val="28"/>
          <w:szCs w:val="28"/>
        </w:rPr>
        <w:t>和政策允许的</w:t>
      </w:r>
      <w:r>
        <w:rPr>
          <w:rFonts w:hint="eastAsia" w:ascii="仿宋" w:hAnsi="仿宋" w:eastAsia="仿宋" w:cs="仿宋"/>
          <w:sz w:val="28"/>
          <w:szCs w:val="28"/>
        </w:rPr>
        <w:t>条件</w:t>
      </w:r>
      <w:r>
        <w:rPr>
          <w:rFonts w:ascii="仿宋" w:hAnsi="仿宋" w:eastAsia="仿宋" w:cs="仿宋"/>
          <w:sz w:val="28"/>
          <w:szCs w:val="28"/>
        </w:rPr>
        <w:t>下诉求地方政府，解决编</w:t>
      </w:r>
      <w:r>
        <w:rPr>
          <w:rFonts w:hint="eastAsia" w:ascii="仿宋" w:hAnsi="仿宋" w:eastAsia="仿宋" w:cs="仿宋"/>
          <w:sz w:val="28"/>
          <w:szCs w:val="28"/>
        </w:rPr>
        <w:t>制</w:t>
      </w:r>
      <w:r>
        <w:rPr>
          <w:rFonts w:ascii="仿宋" w:hAnsi="仿宋" w:eastAsia="仿宋" w:cs="仿宋"/>
          <w:sz w:val="28"/>
          <w:szCs w:val="28"/>
        </w:rPr>
        <w:t>不足和办学经费低下问题，争取</w:t>
      </w:r>
      <w:r>
        <w:rPr>
          <w:rFonts w:hint="eastAsia" w:ascii="仿宋" w:hAnsi="仿宋" w:eastAsia="仿宋" w:cs="仿宋"/>
          <w:sz w:val="28"/>
          <w:szCs w:val="28"/>
        </w:rPr>
        <w:t>招</w:t>
      </w:r>
      <w:r>
        <w:rPr>
          <w:rFonts w:ascii="仿宋" w:hAnsi="仿宋" w:eastAsia="仿宋" w:cs="仿宋"/>
          <w:sz w:val="28"/>
          <w:szCs w:val="28"/>
        </w:rPr>
        <w:t>聘一定数量的师资，解决</w:t>
      </w:r>
      <w:r>
        <w:rPr>
          <w:rFonts w:hint="eastAsia" w:ascii="仿宋" w:hAnsi="仿宋" w:eastAsia="仿宋" w:cs="仿宋"/>
          <w:sz w:val="28"/>
          <w:szCs w:val="28"/>
        </w:rPr>
        <w:t>生</w:t>
      </w:r>
      <w:r>
        <w:rPr>
          <w:rFonts w:ascii="仿宋" w:hAnsi="仿宋" w:eastAsia="仿宋" w:cs="仿宋"/>
          <w:sz w:val="28"/>
          <w:szCs w:val="28"/>
        </w:rPr>
        <w:t>师比</w:t>
      </w:r>
      <w:r>
        <w:rPr>
          <w:rFonts w:hint="eastAsia" w:ascii="仿宋" w:hAnsi="仿宋" w:eastAsia="仿宋" w:cs="仿宋"/>
          <w:sz w:val="28"/>
          <w:szCs w:val="28"/>
        </w:rPr>
        <w:t>例</w:t>
      </w:r>
      <w:r>
        <w:rPr>
          <w:rFonts w:ascii="仿宋" w:hAnsi="仿宋" w:eastAsia="仿宋" w:cs="仿宋"/>
          <w:sz w:val="28"/>
          <w:szCs w:val="28"/>
        </w:rPr>
        <w:t>问题。</w:t>
      </w:r>
    </w:p>
    <w:p>
      <w:pPr>
        <w:keepNext/>
        <w:keepLines/>
        <w:spacing w:line="540" w:lineRule="exact"/>
        <w:ind w:firstLine="562" w:firstLineChars="200"/>
        <w:outlineLvl w:val="3"/>
        <w:rPr>
          <w:rFonts w:ascii="Times New Roman" w:hAnsi="Times New Roman" w:eastAsia="仿宋"/>
          <w:b/>
          <w:sz w:val="28"/>
          <w:szCs w:val="28"/>
        </w:rPr>
      </w:pPr>
      <w:r>
        <w:rPr>
          <w:rFonts w:hint="eastAsia" w:ascii="Times New Roman" w:hAnsi="Times New Roman" w:eastAsia="仿宋"/>
          <w:b/>
          <w:sz w:val="28"/>
          <w:szCs w:val="28"/>
        </w:rPr>
        <w:t>（5）建设计划</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1697"/>
        <w:gridCol w:w="3350"/>
        <w:gridCol w:w="1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696" w:type="dxa"/>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年度</w:t>
            </w:r>
          </w:p>
        </w:tc>
        <w:tc>
          <w:tcPr>
            <w:tcW w:w="1697" w:type="dxa"/>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建设任务</w:t>
            </w:r>
          </w:p>
        </w:tc>
        <w:tc>
          <w:tcPr>
            <w:tcW w:w="3350" w:type="dxa"/>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建设内容</w:t>
            </w:r>
          </w:p>
        </w:tc>
        <w:tc>
          <w:tcPr>
            <w:tcW w:w="1553" w:type="dxa"/>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负责部门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Merge w:val="restart"/>
            <w:vAlign w:val="center"/>
          </w:tcPr>
          <w:p>
            <w:pPr>
              <w:jc w:val="center"/>
              <w:rPr>
                <w:rFonts w:ascii="仿宋" w:hAnsi="仿宋" w:eastAsia="仿宋" w:cs="仿宋"/>
                <w:b/>
                <w:szCs w:val="21"/>
              </w:rPr>
            </w:pPr>
            <w:r>
              <w:rPr>
                <w:rFonts w:hint="eastAsia" w:ascii="仿宋" w:hAnsi="仿宋" w:eastAsia="仿宋" w:cs="仿宋"/>
                <w:b/>
                <w:szCs w:val="21"/>
              </w:rPr>
              <w:t>2023</w:t>
            </w:r>
          </w:p>
        </w:tc>
        <w:tc>
          <w:tcPr>
            <w:tcW w:w="1697" w:type="dxa"/>
            <w:vAlign w:val="center"/>
          </w:tcPr>
          <w:p>
            <w:pPr>
              <w:jc w:val="left"/>
              <w:rPr>
                <w:rFonts w:ascii="仿宋" w:hAnsi="仿宋" w:eastAsia="仿宋" w:cs="仿宋"/>
                <w:bCs/>
                <w:szCs w:val="21"/>
              </w:rPr>
            </w:pPr>
            <w:r>
              <w:rPr>
                <w:rFonts w:hint="eastAsia" w:ascii="仿宋" w:hAnsi="仿宋" w:eastAsia="仿宋" w:cs="仿宋"/>
                <w:bCs/>
                <w:szCs w:val="21"/>
              </w:rPr>
              <w:t>大力培育校本师资队伍，提升师资水平</w:t>
            </w:r>
          </w:p>
        </w:tc>
        <w:tc>
          <w:tcPr>
            <w:tcW w:w="3350" w:type="dxa"/>
            <w:vAlign w:val="center"/>
          </w:tcPr>
          <w:p>
            <w:pPr>
              <w:jc w:val="left"/>
              <w:rPr>
                <w:rFonts w:ascii="仿宋" w:hAnsi="仿宋" w:eastAsia="仿宋" w:cs="仿宋"/>
                <w:bCs/>
                <w:szCs w:val="21"/>
              </w:rPr>
            </w:pPr>
            <w:r>
              <w:rPr>
                <w:rFonts w:hint="eastAsia" w:ascii="仿宋" w:hAnsi="仿宋" w:eastAsia="仿宋" w:cs="仿宋"/>
                <w:bCs/>
                <w:szCs w:val="21"/>
              </w:rPr>
              <w:t>坚持抓好师德师风建设，严把意识形态关口；搭建好教学和科研平台，为教师发展服务；加强和落实各项教师培训</w:t>
            </w:r>
          </w:p>
        </w:tc>
        <w:tc>
          <w:tcPr>
            <w:tcW w:w="1553" w:type="dxa"/>
            <w:vAlign w:val="center"/>
          </w:tcPr>
          <w:p>
            <w:pPr>
              <w:jc w:val="center"/>
              <w:rPr>
                <w:rFonts w:ascii="仿宋" w:hAnsi="仿宋" w:eastAsia="仿宋" w:cs="仿宋"/>
                <w:bCs/>
                <w:szCs w:val="21"/>
              </w:rPr>
            </w:pPr>
            <w:r>
              <w:rPr>
                <w:rFonts w:hint="eastAsia" w:ascii="仿宋" w:hAnsi="仿宋" w:eastAsia="仿宋" w:cs="仿宋"/>
                <w:bCs/>
                <w:szCs w:val="21"/>
              </w:rPr>
              <w:t>人事处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Merge w:val="continue"/>
            <w:vAlign w:val="center"/>
          </w:tcPr>
          <w:p>
            <w:pPr>
              <w:jc w:val="center"/>
              <w:rPr>
                <w:rFonts w:ascii="仿宋" w:hAnsi="仿宋" w:eastAsia="仿宋" w:cs="仿宋"/>
                <w:b/>
                <w:szCs w:val="21"/>
              </w:rPr>
            </w:pPr>
          </w:p>
        </w:tc>
        <w:tc>
          <w:tcPr>
            <w:tcW w:w="1697" w:type="dxa"/>
            <w:vAlign w:val="center"/>
          </w:tcPr>
          <w:p>
            <w:pPr>
              <w:jc w:val="left"/>
              <w:rPr>
                <w:rFonts w:ascii="仿宋" w:hAnsi="仿宋" w:eastAsia="仿宋" w:cs="仿宋"/>
                <w:bCs/>
                <w:szCs w:val="21"/>
              </w:rPr>
            </w:pPr>
            <w:r>
              <w:rPr>
                <w:rFonts w:hint="eastAsia" w:ascii="仿宋" w:hAnsi="仿宋" w:eastAsia="仿宋" w:cs="仿宋"/>
                <w:bCs/>
                <w:szCs w:val="21"/>
              </w:rPr>
              <w:t>实施“筑巢引凤”工程，坚持“走出去”战略</w:t>
            </w:r>
          </w:p>
        </w:tc>
        <w:tc>
          <w:tcPr>
            <w:tcW w:w="3350" w:type="dxa"/>
            <w:vAlign w:val="center"/>
          </w:tcPr>
          <w:p>
            <w:pPr>
              <w:jc w:val="left"/>
              <w:rPr>
                <w:rFonts w:ascii="仿宋" w:hAnsi="仿宋" w:eastAsia="仿宋" w:cs="仿宋"/>
                <w:bCs/>
                <w:szCs w:val="21"/>
              </w:rPr>
            </w:pPr>
            <w:r>
              <w:rPr>
                <w:rFonts w:hint="eastAsia" w:ascii="仿宋" w:hAnsi="仿宋" w:eastAsia="仿宋" w:cs="仿宋"/>
                <w:bCs/>
                <w:szCs w:val="21"/>
              </w:rPr>
              <w:t>以优质待遇和安家条件吸引高层次水平人才；招聘具有博士学位水平高素质人才和一定企业经验的高技术技能型人才</w:t>
            </w:r>
          </w:p>
        </w:tc>
        <w:tc>
          <w:tcPr>
            <w:tcW w:w="1553" w:type="dxa"/>
            <w:vAlign w:val="center"/>
          </w:tcPr>
          <w:p>
            <w:pPr>
              <w:jc w:val="center"/>
              <w:rPr>
                <w:rFonts w:ascii="仿宋" w:hAnsi="仿宋" w:eastAsia="仿宋" w:cs="仿宋"/>
                <w:bCs/>
                <w:szCs w:val="21"/>
              </w:rPr>
            </w:pPr>
            <w:r>
              <w:rPr>
                <w:rFonts w:hint="eastAsia" w:ascii="仿宋" w:hAnsi="仿宋" w:eastAsia="仿宋" w:cs="仿宋"/>
                <w:bCs/>
                <w:szCs w:val="21"/>
              </w:rPr>
              <w:t>人事处、二级学院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Merge w:val="continue"/>
            <w:vAlign w:val="center"/>
          </w:tcPr>
          <w:p>
            <w:pPr>
              <w:jc w:val="center"/>
              <w:rPr>
                <w:rFonts w:ascii="仿宋" w:hAnsi="仿宋" w:eastAsia="仿宋" w:cs="仿宋"/>
                <w:b/>
                <w:szCs w:val="21"/>
              </w:rPr>
            </w:pPr>
          </w:p>
        </w:tc>
        <w:tc>
          <w:tcPr>
            <w:tcW w:w="1697" w:type="dxa"/>
            <w:vAlign w:val="center"/>
          </w:tcPr>
          <w:p>
            <w:pPr>
              <w:jc w:val="left"/>
              <w:rPr>
                <w:rFonts w:ascii="仿宋" w:hAnsi="仿宋" w:eastAsia="仿宋" w:cs="仿宋"/>
                <w:bCs/>
                <w:szCs w:val="21"/>
              </w:rPr>
            </w:pPr>
            <w:r>
              <w:rPr>
                <w:rFonts w:hint="eastAsia" w:ascii="仿宋" w:hAnsi="仿宋" w:eastAsia="仿宋" w:cs="仿宋"/>
                <w:bCs/>
                <w:szCs w:val="21"/>
              </w:rPr>
              <w:t>争取地方政府在编制数量和办学经费上给予支持</w:t>
            </w:r>
          </w:p>
        </w:tc>
        <w:tc>
          <w:tcPr>
            <w:tcW w:w="3350" w:type="dxa"/>
            <w:vAlign w:val="center"/>
          </w:tcPr>
          <w:p>
            <w:pPr>
              <w:jc w:val="left"/>
              <w:rPr>
                <w:rFonts w:ascii="仿宋" w:hAnsi="仿宋" w:eastAsia="仿宋" w:cs="仿宋"/>
                <w:bCs/>
                <w:szCs w:val="21"/>
              </w:rPr>
            </w:pPr>
            <w:r>
              <w:rPr>
                <w:rFonts w:hint="eastAsia" w:ascii="仿宋" w:hAnsi="仿宋" w:eastAsia="仿宋" w:cs="仿宋"/>
                <w:bCs/>
                <w:szCs w:val="21"/>
              </w:rPr>
              <w:t>通过地方政府或校企合作等方式，逐步解决编制和办学经费不足的问题。</w:t>
            </w:r>
          </w:p>
        </w:tc>
        <w:tc>
          <w:tcPr>
            <w:tcW w:w="1553" w:type="dxa"/>
            <w:vAlign w:val="center"/>
          </w:tcPr>
          <w:p>
            <w:pPr>
              <w:jc w:val="center"/>
              <w:rPr>
                <w:rFonts w:ascii="仿宋" w:hAnsi="仿宋" w:eastAsia="仿宋" w:cs="仿宋"/>
                <w:bCs/>
                <w:szCs w:val="21"/>
              </w:rPr>
            </w:pPr>
            <w:r>
              <w:rPr>
                <w:rFonts w:hint="eastAsia" w:ascii="仿宋" w:hAnsi="仿宋" w:eastAsia="仿宋" w:cs="仿宋"/>
                <w:bCs/>
                <w:szCs w:val="21"/>
              </w:rPr>
              <w:t>党政办、组织部、人事处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Merge w:val="restart"/>
            <w:vAlign w:val="center"/>
          </w:tcPr>
          <w:p>
            <w:pPr>
              <w:jc w:val="center"/>
              <w:rPr>
                <w:rFonts w:ascii="仿宋" w:hAnsi="仿宋" w:eastAsia="仿宋" w:cs="仿宋"/>
                <w:b/>
                <w:szCs w:val="21"/>
              </w:rPr>
            </w:pPr>
            <w:r>
              <w:rPr>
                <w:rFonts w:hint="eastAsia" w:ascii="仿宋" w:hAnsi="仿宋" w:eastAsia="仿宋" w:cs="仿宋"/>
                <w:b/>
                <w:szCs w:val="21"/>
              </w:rPr>
              <w:t>2024</w:t>
            </w:r>
          </w:p>
        </w:tc>
        <w:tc>
          <w:tcPr>
            <w:tcW w:w="1697" w:type="dxa"/>
            <w:vAlign w:val="center"/>
          </w:tcPr>
          <w:p>
            <w:pPr>
              <w:jc w:val="left"/>
              <w:rPr>
                <w:rFonts w:ascii="仿宋" w:hAnsi="仿宋" w:eastAsia="仿宋" w:cs="仿宋"/>
                <w:bCs/>
                <w:szCs w:val="21"/>
              </w:rPr>
            </w:pPr>
            <w:r>
              <w:rPr>
                <w:rFonts w:hint="eastAsia" w:ascii="仿宋" w:hAnsi="仿宋" w:eastAsia="仿宋" w:cs="仿宋"/>
                <w:bCs/>
                <w:szCs w:val="21"/>
              </w:rPr>
              <w:t>大力培育校本师资队伍，提升师资水平</w:t>
            </w:r>
          </w:p>
        </w:tc>
        <w:tc>
          <w:tcPr>
            <w:tcW w:w="3350" w:type="dxa"/>
            <w:vAlign w:val="center"/>
          </w:tcPr>
          <w:p>
            <w:pPr>
              <w:jc w:val="left"/>
              <w:rPr>
                <w:rFonts w:ascii="仿宋" w:hAnsi="仿宋" w:eastAsia="仿宋" w:cs="仿宋"/>
                <w:bCs/>
                <w:szCs w:val="21"/>
              </w:rPr>
            </w:pPr>
            <w:r>
              <w:rPr>
                <w:rFonts w:hint="eastAsia" w:ascii="仿宋" w:hAnsi="仿宋" w:eastAsia="仿宋" w:cs="仿宋"/>
                <w:bCs/>
                <w:szCs w:val="21"/>
              </w:rPr>
              <w:t>坚持抓好师德师风建设，严把意识形态关口；搭建好教学和科研平台，为教师发展服务；加强和落实各项教师培训</w:t>
            </w:r>
          </w:p>
        </w:tc>
        <w:tc>
          <w:tcPr>
            <w:tcW w:w="1553" w:type="dxa"/>
            <w:vAlign w:val="center"/>
          </w:tcPr>
          <w:p>
            <w:pPr>
              <w:jc w:val="center"/>
              <w:rPr>
                <w:rFonts w:ascii="仿宋" w:hAnsi="仿宋" w:eastAsia="仿宋" w:cs="仿宋"/>
                <w:bCs/>
                <w:szCs w:val="21"/>
              </w:rPr>
            </w:pPr>
            <w:r>
              <w:rPr>
                <w:rFonts w:hint="eastAsia" w:ascii="仿宋" w:hAnsi="仿宋" w:eastAsia="仿宋" w:cs="仿宋"/>
                <w:bCs/>
                <w:szCs w:val="21"/>
              </w:rPr>
              <w:t>人事处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Merge w:val="continue"/>
            <w:vAlign w:val="center"/>
          </w:tcPr>
          <w:p>
            <w:pPr>
              <w:jc w:val="center"/>
              <w:rPr>
                <w:rFonts w:ascii="仿宋" w:hAnsi="仿宋" w:eastAsia="仿宋" w:cs="仿宋"/>
                <w:b/>
                <w:szCs w:val="21"/>
              </w:rPr>
            </w:pPr>
          </w:p>
        </w:tc>
        <w:tc>
          <w:tcPr>
            <w:tcW w:w="1697" w:type="dxa"/>
            <w:vAlign w:val="center"/>
          </w:tcPr>
          <w:p>
            <w:pPr>
              <w:jc w:val="left"/>
              <w:rPr>
                <w:rFonts w:ascii="仿宋" w:hAnsi="仿宋" w:eastAsia="仿宋" w:cs="仿宋"/>
                <w:bCs/>
                <w:szCs w:val="21"/>
              </w:rPr>
            </w:pPr>
            <w:r>
              <w:rPr>
                <w:rFonts w:hint="eastAsia" w:ascii="仿宋" w:hAnsi="仿宋" w:eastAsia="仿宋" w:cs="仿宋"/>
                <w:bCs/>
                <w:szCs w:val="21"/>
              </w:rPr>
              <w:t>实施“筑巢引凤”工程，坚持“走出去”战略</w:t>
            </w:r>
          </w:p>
        </w:tc>
        <w:tc>
          <w:tcPr>
            <w:tcW w:w="3350" w:type="dxa"/>
            <w:vAlign w:val="center"/>
          </w:tcPr>
          <w:p>
            <w:pPr>
              <w:jc w:val="left"/>
              <w:rPr>
                <w:rFonts w:ascii="仿宋" w:hAnsi="仿宋" w:eastAsia="仿宋" w:cs="仿宋"/>
                <w:szCs w:val="21"/>
              </w:rPr>
            </w:pPr>
            <w:r>
              <w:rPr>
                <w:rFonts w:hint="eastAsia" w:ascii="仿宋" w:hAnsi="仿宋" w:eastAsia="仿宋" w:cs="仿宋"/>
                <w:szCs w:val="21"/>
              </w:rPr>
              <w:t>以优质待遇和安家条件吸引高层次水平人才；招聘具有博士学位水平高素质人才和一定企业经验的高技术技能型人才</w:t>
            </w:r>
          </w:p>
        </w:tc>
        <w:tc>
          <w:tcPr>
            <w:tcW w:w="1553" w:type="dxa"/>
            <w:vAlign w:val="center"/>
          </w:tcPr>
          <w:p>
            <w:pPr>
              <w:jc w:val="center"/>
              <w:rPr>
                <w:rFonts w:ascii="仿宋" w:hAnsi="仿宋" w:eastAsia="仿宋" w:cs="仿宋"/>
                <w:bCs/>
                <w:szCs w:val="21"/>
              </w:rPr>
            </w:pPr>
            <w:r>
              <w:rPr>
                <w:rFonts w:hint="eastAsia" w:ascii="仿宋" w:hAnsi="仿宋" w:eastAsia="仿宋" w:cs="仿宋"/>
                <w:bCs/>
                <w:szCs w:val="21"/>
              </w:rPr>
              <w:t>人事处、二级学院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Merge w:val="continue"/>
            <w:vAlign w:val="center"/>
          </w:tcPr>
          <w:p>
            <w:pPr>
              <w:jc w:val="center"/>
              <w:rPr>
                <w:rFonts w:ascii="仿宋" w:hAnsi="仿宋" w:eastAsia="仿宋" w:cs="仿宋"/>
                <w:b/>
                <w:szCs w:val="21"/>
              </w:rPr>
            </w:pPr>
          </w:p>
        </w:tc>
        <w:tc>
          <w:tcPr>
            <w:tcW w:w="1697" w:type="dxa"/>
            <w:vAlign w:val="center"/>
          </w:tcPr>
          <w:p>
            <w:pPr>
              <w:jc w:val="left"/>
              <w:rPr>
                <w:rFonts w:ascii="仿宋" w:hAnsi="仿宋" w:eastAsia="仿宋" w:cs="仿宋"/>
                <w:bCs/>
                <w:szCs w:val="21"/>
              </w:rPr>
            </w:pPr>
            <w:r>
              <w:rPr>
                <w:rFonts w:hint="eastAsia" w:ascii="仿宋" w:hAnsi="仿宋" w:eastAsia="仿宋" w:cs="仿宋"/>
                <w:bCs/>
                <w:szCs w:val="21"/>
              </w:rPr>
              <w:t>争取地方政府在编制数量和办学经费上给予支持</w:t>
            </w:r>
          </w:p>
        </w:tc>
        <w:tc>
          <w:tcPr>
            <w:tcW w:w="3350" w:type="dxa"/>
            <w:vAlign w:val="center"/>
          </w:tcPr>
          <w:p>
            <w:pPr>
              <w:jc w:val="left"/>
              <w:rPr>
                <w:rFonts w:ascii="仿宋" w:hAnsi="仿宋" w:eastAsia="仿宋" w:cs="仿宋"/>
                <w:szCs w:val="21"/>
              </w:rPr>
            </w:pPr>
            <w:r>
              <w:rPr>
                <w:rFonts w:hint="eastAsia" w:ascii="仿宋" w:hAnsi="仿宋" w:eastAsia="仿宋" w:cs="仿宋"/>
                <w:szCs w:val="21"/>
              </w:rPr>
              <w:t>通过地方政府或校企合作等方式，逐步解决编制和办学经费不足的问题。</w:t>
            </w:r>
          </w:p>
        </w:tc>
        <w:tc>
          <w:tcPr>
            <w:tcW w:w="1553" w:type="dxa"/>
            <w:vAlign w:val="center"/>
          </w:tcPr>
          <w:p>
            <w:pPr>
              <w:jc w:val="center"/>
              <w:rPr>
                <w:rFonts w:ascii="仿宋" w:hAnsi="仿宋" w:eastAsia="仿宋" w:cs="仿宋"/>
                <w:bCs/>
                <w:szCs w:val="21"/>
              </w:rPr>
            </w:pPr>
            <w:r>
              <w:rPr>
                <w:rFonts w:hint="eastAsia" w:ascii="仿宋" w:hAnsi="仿宋" w:eastAsia="仿宋" w:cs="仿宋"/>
                <w:bCs/>
                <w:szCs w:val="21"/>
              </w:rPr>
              <w:t>党政办、组织部、人事处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Merge w:val="restart"/>
            <w:vAlign w:val="center"/>
          </w:tcPr>
          <w:p>
            <w:pPr>
              <w:jc w:val="center"/>
              <w:rPr>
                <w:rFonts w:ascii="仿宋" w:hAnsi="仿宋" w:eastAsia="仿宋" w:cs="仿宋"/>
                <w:b/>
                <w:szCs w:val="21"/>
              </w:rPr>
            </w:pPr>
            <w:r>
              <w:rPr>
                <w:rFonts w:hint="eastAsia" w:ascii="仿宋" w:hAnsi="仿宋" w:eastAsia="仿宋" w:cs="仿宋"/>
                <w:b/>
                <w:szCs w:val="21"/>
              </w:rPr>
              <w:t>2025</w:t>
            </w:r>
          </w:p>
        </w:tc>
        <w:tc>
          <w:tcPr>
            <w:tcW w:w="1697" w:type="dxa"/>
            <w:vAlign w:val="center"/>
          </w:tcPr>
          <w:p>
            <w:pPr>
              <w:jc w:val="left"/>
              <w:rPr>
                <w:rFonts w:ascii="仿宋" w:hAnsi="仿宋" w:eastAsia="仿宋" w:cs="仿宋"/>
                <w:bCs/>
                <w:szCs w:val="21"/>
              </w:rPr>
            </w:pPr>
            <w:r>
              <w:rPr>
                <w:rFonts w:hint="eastAsia" w:ascii="仿宋" w:hAnsi="仿宋" w:eastAsia="仿宋" w:cs="仿宋"/>
                <w:bCs/>
                <w:szCs w:val="21"/>
              </w:rPr>
              <w:t>大力培育校本师资队伍，提升师资水平</w:t>
            </w:r>
          </w:p>
        </w:tc>
        <w:tc>
          <w:tcPr>
            <w:tcW w:w="3350" w:type="dxa"/>
            <w:vAlign w:val="center"/>
          </w:tcPr>
          <w:p>
            <w:pPr>
              <w:jc w:val="left"/>
              <w:rPr>
                <w:rFonts w:ascii="仿宋" w:hAnsi="仿宋" w:eastAsia="仿宋" w:cs="仿宋"/>
                <w:bCs/>
                <w:szCs w:val="21"/>
              </w:rPr>
            </w:pPr>
            <w:r>
              <w:rPr>
                <w:rFonts w:hint="eastAsia" w:ascii="仿宋" w:hAnsi="仿宋" w:eastAsia="仿宋" w:cs="仿宋"/>
                <w:bCs/>
                <w:szCs w:val="21"/>
              </w:rPr>
              <w:t>坚持抓好师德师风建设，严把意识形态关口；搭建好教学和科研平台，为教师发展服务；加强和落实各项教师培训</w:t>
            </w:r>
          </w:p>
        </w:tc>
        <w:tc>
          <w:tcPr>
            <w:tcW w:w="1553" w:type="dxa"/>
            <w:vAlign w:val="center"/>
          </w:tcPr>
          <w:p>
            <w:pPr>
              <w:jc w:val="center"/>
              <w:rPr>
                <w:rFonts w:ascii="仿宋" w:hAnsi="仿宋" w:eastAsia="仿宋" w:cs="仿宋"/>
                <w:bCs/>
                <w:szCs w:val="21"/>
              </w:rPr>
            </w:pPr>
            <w:r>
              <w:rPr>
                <w:rFonts w:hint="eastAsia" w:ascii="仿宋" w:hAnsi="仿宋" w:eastAsia="仿宋" w:cs="仿宋"/>
                <w:bCs/>
                <w:szCs w:val="21"/>
              </w:rPr>
              <w:t>人事处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Merge w:val="continue"/>
            <w:vAlign w:val="center"/>
          </w:tcPr>
          <w:p>
            <w:pPr>
              <w:jc w:val="center"/>
              <w:rPr>
                <w:rFonts w:ascii="仿宋" w:hAnsi="仿宋" w:eastAsia="仿宋" w:cs="仿宋"/>
                <w:bCs/>
                <w:szCs w:val="21"/>
              </w:rPr>
            </w:pPr>
          </w:p>
        </w:tc>
        <w:tc>
          <w:tcPr>
            <w:tcW w:w="1697" w:type="dxa"/>
            <w:vAlign w:val="center"/>
          </w:tcPr>
          <w:p>
            <w:pPr>
              <w:jc w:val="left"/>
              <w:rPr>
                <w:rFonts w:ascii="仿宋" w:hAnsi="仿宋" w:eastAsia="仿宋" w:cs="仿宋"/>
                <w:bCs/>
                <w:szCs w:val="21"/>
              </w:rPr>
            </w:pPr>
            <w:r>
              <w:rPr>
                <w:rFonts w:hint="eastAsia" w:ascii="仿宋" w:hAnsi="仿宋" w:eastAsia="仿宋" w:cs="仿宋"/>
                <w:bCs/>
                <w:szCs w:val="21"/>
              </w:rPr>
              <w:t>实施“筑巢引凤”工程，坚持“走出去”战略</w:t>
            </w:r>
          </w:p>
        </w:tc>
        <w:tc>
          <w:tcPr>
            <w:tcW w:w="3350" w:type="dxa"/>
            <w:vAlign w:val="center"/>
          </w:tcPr>
          <w:p>
            <w:pPr>
              <w:jc w:val="left"/>
              <w:rPr>
                <w:rFonts w:ascii="仿宋" w:hAnsi="仿宋" w:eastAsia="仿宋" w:cs="仿宋"/>
                <w:bCs/>
                <w:szCs w:val="21"/>
              </w:rPr>
            </w:pPr>
            <w:r>
              <w:rPr>
                <w:rFonts w:hint="eastAsia" w:ascii="仿宋" w:hAnsi="仿宋" w:eastAsia="仿宋" w:cs="仿宋"/>
                <w:bCs/>
                <w:szCs w:val="21"/>
              </w:rPr>
              <w:t>以优质待遇和安家条件吸引高层次水平人才；招聘具有博士学位水平高素质人才和一定企业经验的高技术技能型人才</w:t>
            </w:r>
          </w:p>
        </w:tc>
        <w:tc>
          <w:tcPr>
            <w:tcW w:w="1553" w:type="dxa"/>
            <w:vAlign w:val="center"/>
          </w:tcPr>
          <w:p>
            <w:pPr>
              <w:jc w:val="center"/>
              <w:rPr>
                <w:rFonts w:ascii="仿宋" w:hAnsi="仿宋" w:eastAsia="仿宋" w:cs="仿宋"/>
                <w:bCs/>
                <w:szCs w:val="21"/>
              </w:rPr>
            </w:pPr>
            <w:r>
              <w:rPr>
                <w:rFonts w:hint="eastAsia" w:ascii="仿宋" w:hAnsi="仿宋" w:eastAsia="仿宋" w:cs="仿宋"/>
                <w:bCs/>
                <w:szCs w:val="21"/>
              </w:rPr>
              <w:t>人事处、二级学院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Merge w:val="continue"/>
            <w:vAlign w:val="center"/>
          </w:tcPr>
          <w:p>
            <w:pPr>
              <w:jc w:val="center"/>
              <w:rPr>
                <w:rFonts w:ascii="仿宋" w:hAnsi="仿宋" w:eastAsia="仿宋" w:cs="仿宋"/>
                <w:bCs/>
                <w:szCs w:val="21"/>
              </w:rPr>
            </w:pPr>
          </w:p>
        </w:tc>
        <w:tc>
          <w:tcPr>
            <w:tcW w:w="1697" w:type="dxa"/>
            <w:vAlign w:val="center"/>
          </w:tcPr>
          <w:p>
            <w:pPr>
              <w:jc w:val="left"/>
              <w:rPr>
                <w:rFonts w:ascii="仿宋" w:hAnsi="仿宋" w:eastAsia="仿宋" w:cs="仿宋"/>
                <w:bCs/>
                <w:szCs w:val="21"/>
              </w:rPr>
            </w:pPr>
            <w:r>
              <w:rPr>
                <w:rFonts w:hint="eastAsia" w:ascii="仿宋" w:hAnsi="仿宋" w:eastAsia="仿宋" w:cs="仿宋"/>
                <w:bCs/>
                <w:szCs w:val="21"/>
              </w:rPr>
              <w:t>争取地方政府在编制数量和办学经费上给予支持</w:t>
            </w:r>
          </w:p>
        </w:tc>
        <w:tc>
          <w:tcPr>
            <w:tcW w:w="3350" w:type="dxa"/>
            <w:vAlign w:val="center"/>
          </w:tcPr>
          <w:p>
            <w:pPr>
              <w:jc w:val="left"/>
              <w:rPr>
                <w:rFonts w:ascii="仿宋" w:hAnsi="仿宋" w:eastAsia="仿宋" w:cs="仿宋"/>
                <w:bCs/>
                <w:szCs w:val="21"/>
              </w:rPr>
            </w:pPr>
            <w:r>
              <w:rPr>
                <w:rFonts w:hint="eastAsia" w:ascii="仿宋" w:hAnsi="仿宋" w:eastAsia="仿宋" w:cs="仿宋"/>
                <w:bCs/>
                <w:szCs w:val="21"/>
              </w:rPr>
              <w:t>通过地方政府或校企合作等方式，逐步解决编制和办学经费不足的问题。</w:t>
            </w:r>
          </w:p>
        </w:tc>
        <w:tc>
          <w:tcPr>
            <w:tcW w:w="1553" w:type="dxa"/>
            <w:vAlign w:val="center"/>
          </w:tcPr>
          <w:p>
            <w:pPr>
              <w:jc w:val="center"/>
              <w:rPr>
                <w:rFonts w:ascii="仿宋" w:hAnsi="仿宋" w:eastAsia="仿宋" w:cs="仿宋"/>
                <w:bCs/>
                <w:szCs w:val="21"/>
              </w:rPr>
            </w:pPr>
            <w:r>
              <w:rPr>
                <w:rFonts w:hint="eastAsia" w:ascii="仿宋" w:hAnsi="仿宋" w:eastAsia="仿宋" w:cs="仿宋"/>
                <w:bCs/>
                <w:szCs w:val="21"/>
              </w:rPr>
              <w:t>党政办、组织部、人事处</w:t>
            </w:r>
          </w:p>
        </w:tc>
      </w:tr>
    </w:tbl>
    <w:p>
      <w:pPr>
        <w:keepNext/>
        <w:keepLines/>
        <w:spacing w:line="540" w:lineRule="exact"/>
        <w:ind w:firstLine="562" w:firstLineChars="200"/>
        <w:outlineLvl w:val="3"/>
        <w:rPr>
          <w:rFonts w:ascii="Times New Roman" w:hAnsi="Times New Roman" w:eastAsia="仿宋"/>
          <w:b/>
          <w:sz w:val="28"/>
          <w:szCs w:val="28"/>
        </w:rPr>
      </w:pPr>
      <w:r>
        <w:rPr>
          <w:rFonts w:hint="eastAsia" w:ascii="Times New Roman" w:hAnsi="Times New Roman" w:eastAsia="仿宋"/>
          <w:b/>
          <w:sz w:val="28"/>
          <w:szCs w:val="28"/>
        </w:rPr>
        <w:t>（6）预期成效及资金测算</w:t>
      </w:r>
    </w:p>
    <w:tbl>
      <w:tblPr>
        <w:tblStyle w:val="16"/>
        <w:tblW w:w="0" w:type="auto"/>
        <w:jc w:val="center"/>
        <w:tblLayout w:type="autofit"/>
        <w:tblCellMar>
          <w:top w:w="15" w:type="dxa"/>
          <w:left w:w="15" w:type="dxa"/>
          <w:bottom w:w="15" w:type="dxa"/>
          <w:right w:w="15" w:type="dxa"/>
        </w:tblCellMar>
      </w:tblPr>
      <w:tblGrid>
        <w:gridCol w:w="1068"/>
        <w:gridCol w:w="2666"/>
        <w:gridCol w:w="3045"/>
        <w:gridCol w:w="519"/>
        <w:gridCol w:w="519"/>
        <w:gridCol w:w="519"/>
      </w:tblGrid>
      <w:tr>
        <w:trPr>
          <w:trHeight w:val="301" w:hRule="atLeast"/>
          <w:jc w:val="center"/>
        </w:trPr>
        <w:tc>
          <w:tcPr>
            <w:tcW w:w="1068" w:type="dxa"/>
            <w:vMerge w:val="restart"/>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项目名称</w:t>
            </w:r>
          </w:p>
        </w:tc>
        <w:tc>
          <w:tcPr>
            <w:tcW w:w="2666" w:type="dxa"/>
            <w:vMerge w:val="restart"/>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主要建设内容</w:t>
            </w:r>
          </w:p>
        </w:tc>
        <w:tc>
          <w:tcPr>
            <w:tcW w:w="3045" w:type="dxa"/>
            <w:vMerge w:val="restart"/>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预期建设成效</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建设资金安排表（万元）</w:t>
            </w:r>
          </w:p>
        </w:tc>
      </w:tr>
      <w:tr>
        <w:tblPrEx>
          <w:tblCellMar>
            <w:top w:w="15" w:type="dxa"/>
            <w:left w:w="15" w:type="dxa"/>
            <w:bottom w:w="15" w:type="dxa"/>
            <w:right w:w="15" w:type="dxa"/>
          </w:tblCellMar>
        </w:tblPrEx>
        <w:trPr>
          <w:trHeight w:val="286" w:hRule="atLeast"/>
          <w:jc w:val="center"/>
        </w:trPr>
        <w:tc>
          <w:tcPr>
            <w:tcW w:w="1068" w:type="dxa"/>
            <w:vMerge w:val="continue"/>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jc w:val="center"/>
              <w:rPr>
                <w:rFonts w:ascii="仿宋" w:hAnsi="仿宋" w:eastAsia="仿宋" w:cs="仿宋"/>
                <w:b/>
                <w:bCs/>
                <w:color w:val="000000"/>
                <w:szCs w:val="21"/>
              </w:rPr>
            </w:pPr>
          </w:p>
        </w:tc>
        <w:tc>
          <w:tcPr>
            <w:tcW w:w="2666" w:type="dxa"/>
            <w:vMerge w:val="continue"/>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jc w:val="center"/>
              <w:rPr>
                <w:rFonts w:ascii="仿宋" w:hAnsi="仿宋" w:eastAsia="仿宋" w:cs="仿宋"/>
                <w:b/>
                <w:bCs/>
                <w:color w:val="000000"/>
                <w:szCs w:val="21"/>
              </w:rPr>
            </w:pPr>
          </w:p>
        </w:tc>
        <w:tc>
          <w:tcPr>
            <w:tcW w:w="3045" w:type="dxa"/>
            <w:vMerge w:val="continue"/>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jc w:val="center"/>
              <w:rPr>
                <w:rFonts w:ascii="仿宋" w:hAnsi="仿宋" w:eastAsia="仿宋" w:cs="仿宋"/>
                <w:b/>
                <w:bCs/>
                <w:color w:val="000000"/>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kern w:val="0"/>
                <w:szCs w:val="21"/>
                <w:lang w:bidi="ar"/>
              </w:rPr>
            </w:pPr>
            <w:r>
              <w:rPr>
                <w:rFonts w:hint="eastAsia" w:ascii="仿宋" w:hAnsi="仿宋" w:eastAsia="仿宋" w:cs="仿宋"/>
                <w:b/>
                <w:bCs/>
                <w:color w:val="000000"/>
                <w:kern w:val="0"/>
                <w:szCs w:val="21"/>
                <w:lang w:bidi="ar"/>
              </w:rPr>
              <w:t>2023年</w:t>
            </w:r>
          </w:p>
        </w:tc>
        <w:tc>
          <w:tcPr>
            <w:tcW w:w="0" w:type="auto"/>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2024年</w:t>
            </w:r>
          </w:p>
        </w:tc>
        <w:tc>
          <w:tcPr>
            <w:tcW w:w="0" w:type="auto"/>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2025年</w:t>
            </w:r>
          </w:p>
        </w:tc>
      </w:tr>
      <w:tr>
        <w:tblPrEx>
          <w:tblCellMar>
            <w:top w:w="15" w:type="dxa"/>
            <w:left w:w="15" w:type="dxa"/>
            <w:bottom w:w="15" w:type="dxa"/>
            <w:right w:w="15" w:type="dxa"/>
          </w:tblCellMar>
        </w:tblPrEx>
        <w:trPr>
          <w:trHeight w:val="450" w:hRule="atLeast"/>
          <w:jc w:val="center"/>
        </w:trPr>
        <w:tc>
          <w:tcPr>
            <w:tcW w:w="1068"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Cs w:val="21"/>
              </w:rPr>
            </w:pPr>
            <w:r>
              <w:rPr>
                <w:rFonts w:hint="eastAsia" w:ascii="仿宋" w:hAnsi="仿宋" w:eastAsia="仿宋" w:cs="仿宋"/>
                <w:b/>
                <w:bCs/>
                <w:color w:val="000000"/>
                <w:szCs w:val="21"/>
              </w:rPr>
              <w:t>生师比达标项目</w:t>
            </w:r>
          </w:p>
        </w:tc>
        <w:tc>
          <w:tcPr>
            <w:tcW w:w="2666"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仿宋"/>
                <w:color w:val="000000"/>
                <w:szCs w:val="21"/>
              </w:rPr>
            </w:pPr>
            <w:r>
              <w:rPr>
                <w:rFonts w:hint="eastAsia" w:ascii="仿宋" w:hAnsi="仿宋" w:eastAsia="仿宋" w:cs="仿宋"/>
                <w:color w:val="000000"/>
                <w:szCs w:val="21"/>
              </w:rPr>
              <w:t>大力培育校本师资队伍，提升师资水平；实施“筑巢引凤”工程，坚持“走出去”战略，加强校企合作，逐年补足教师缺口；争取地方政府在编制数量和办学经费上给予支持</w:t>
            </w:r>
          </w:p>
        </w:tc>
        <w:tc>
          <w:tcPr>
            <w:tcW w:w="3045"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仿宋"/>
                <w:color w:val="000000"/>
                <w:szCs w:val="21"/>
              </w:rPr>
            </w:pPr>
            <w:r>
              <w:rPr>
                <w:rFonts w:hint="eastAsia" w:ascii="仿宋" w:hAnsi="仿宋" w:eastAsia="仿宋" w:cs="仿宋"/>
                <w:color w:val="000000"/>
                <w:szCs w:val="21"/>
              </w:rPr>
              <w:t>在2023年、2024年、2025年逐步新引进专任教师290人，争取在2025年底前专任教师数量规模达660人，控制生师比在18：1之内。</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Cs w:val="21"/>
              </w:rPr>
            </w:pPr>
            <w:r>
              <w:rPr>
                <w:rFonts w:hint="eastAsia" w:ascii="仿宋" w:hAnsi="仿宋" w:eastAsia="仿宋" w:cs="仿宋"/>
                <w:color w:val="000000"/>
                <w:szCs w:val="21"/>
              </w:rPr>
              <w:t>1000</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Cs w:val="21"/>
              </w:rPr>
            </w:pPr>
            <w:r>
              <w:rPr>
                <w:rFonts w:hint="eastAsia" w:ascii="仿宋" w:hAnsi="仿宋" w:eastAsia="仿宋" w:cs="仿宋"/>
                <w:color w:val="000000"/>
                <w:szCs w:val="21"/>
              </w:rPr>
              <w:t>1500</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Cs w:val="21"/>
              </w:rPr>
            </w:pPr>
            <w:r>
              <w:rPr>
                <w:rFonts w:hint="eastAsia" w:ascii="仿宋" w:hAnsi="仿宋" w:eastAsia="仿宋" w:cs="仿宋"/>
                <w:color w:val="000000"/>
                <w:szCs w:val="21"/>
              </w:rPr>
              <w:t>1800</w:t>
            </w:r>
          </w:p>
        </w:tc>
      </w:tr>
    </w:tbl>
    <w:p>
      <w:r>
        <w:rPr>
          <w:rFonts w:hint="eastAsia"/>
        </w:rPr>
        <w:t xml:space="preserve"> </w:t>
      </w:r>
    </w:p>
    <w:p>
      <w:pPr>
        <w:pStyle w:val="4"/>
      </w:pPr>
      <w:bookmarkStart w:id="34" w:name="_Toc164347834"/>
      <w:r>
        <w:rPr>
          <w:rFonts w:hint="eastAsia"/>
        </w:rPr>
        <w:t>2.</w:t>
      </w:r>
      <w:bookmarkStart w:id="35" w:name="_Toc7221"/>
      <w:r>
        <w:rPr>
          <w:rFonts w:hint="eastAsia"/>
        </w:rPr>
        <w:fldChar w:fldCharType="begin"/>
      </w:r>
      <w:r>
        <w:rPr>
          <w:rFonts w:hint="eastAsia"/>
        </w:rPr>
        <w:instrText xml:space="preserve"> HYPERLINK \l "_Toc19163" </w:instrText>
      </w:r>
      <w:r>
        <w:rPr>
          <w:rFonts w:hint="eastAsia"/>
        </w:rPr>
        <w:fldChar w:fldCharType="separate"/>
      </w:r>
      <w:r>
        <w:rPr>
          <w:rFonts w:hint="eastAsia"/>
        </w:rPr>
        <w:t>教学行政用房提升工程</w:t>
      </w:r>
      <w:bookmarkEnd w:id="34"/>
      <w:bookmarkEnd w:id="35"/>
    </w:p>
    <w:p>
      <w:pPr>
        <w:keepNext/>
        <w:keepLines/>
        <w:spacing w:line="540" w:lineRule="exact"/>
        <w:ind w:firstLine="562" w:firstLineChars="200"/>
        <w:outlineLvl w:val="3"/>
        <w:rPr>
          <w:rFonts w:ascii="Times New Roman" w:hAnsi="Times New Roman" w:eastAsia="仿宋"/>
          <w:b/>
          <w:sz w:val="28"/>
          <w:szCs w:val="28"/>
        </w:rPr>
      </w:pPr>
      <w:r>
        <w:rPr>
          <w:rFonts w:hint="eastAsia" w:ascii="Times New Roman" w:hAnsi="Times New Roman" w:eastAsia="仿宋"/>
          <w:b/>
          <w:sz w:val="28"/>
          <w:szCs w:val="28"/>
        </w:rPr>
        <w:t>（1）必要性和可行性</w:t>
      </w:r>
    </w:p>
    <w:p>
      <w:pPr>
        <w:spacing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高等学校教学，科研、行政用房属于学校公用房屋资产的一部分，是学校办学的硬件保障，是学校高质量发展的重要物质基础。国家住房和城乡建设部 发展和改革委员会《高等职业学校建设标准》和教育部《关于印发〈普通高等学校基本办学条件指标（试行）〉的通知》中的有关教学行政用</w:t>
      </w:r>
      <w:r>
        <w:rPr>
          <w:rFonts w:hint="eastAsia" w:ascii="仿宋" w:hAnsi="仿宋" w:eastAsia="仿宋" w:cs="仿宋"/>
          <w:bCs/>
          <w:sz w:val="28"/>
          <w:szCs w:val="28"/>
          <w:lang w:eastAsia="zh-CN"/>
        </w:rPr>
        <w:t>房的</w:t>
      </w:r>
      <w:r>
        <w:rPr>
          <w:rFonts w:hint="eastAsia" w:ascii="仿宋" w:hAnsi="仿宋" w:eastAsia="仿宋" w:cs="仿宋"/>
          <w:bCs/>
          <w:sz w:val="28"/>
          <w:szCs w:val="28"/>
        </w:rPr>
        <w:t>具体要求，理工科高职院校生均教学行政用房面积要超过16㎡。</w:t>
      </w:r>
    </w:p>
    <w:p>
      <w:pPr>
        <w:spacing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学校目前生均教学行政用房面积已经达标，但是需要继续提升。提升教学行政用房，有助于提升教学质量，提高学生的生活学习环境，促进生长发育及体质发展，有益于身心健康，为培养高素质技能型人才提供基础条件。充足的教学行政办公用房，可以满足与企业共建实训基地、引入企业设备和技术、开展校企合作项目等方式，可以实现资源共享、优势互补，提高人才培养的针对性和实效性。根据前期调研情况，学校周边尚有一些可规划用地，学校正在协调惠州市相关部门，尽快完成土地划拨工作。待土地划拨完成，学校教学行政用房提升工程即可启动。</w:t>
      </w:r>
    </w:p>
    <w:p>
      <w:pPr>
        <w:keepNext/>
        <w:keepLines/>
        <w:spacing w:line="540" w:lineRule="exact"/>
        <w:ind w:firstLine="562" w:firstLineChars="200"/>
        <w:outlineLvl w:val="3"/>
        <w:rPr>
          <w:rFonts w:ascii="Times New Roman" w:hAnsi="Times New Roman" w:eastAsia="仿宋"/>
          <w:b/>
          <w:sz w:val="28"/>
          <w:szCs w:val="28"/>
        </w:rPr>
      </w:pPr>
      <w:r>
        <w:rPr>
          <w:rFonts w:hint="eastAsia" w:ascii="Times New Roman" w:hAnsi="Times New Roman" w:eastAsia="仿宋"/>
          <w:b/>
          <w:sz w:val="28"/>
          <w:szCs w:val="28"/>
        </w:rPr>
        <w:t>（2）拟解决的关键问题</w:t>
      </w:r>
    </w:p>
    <w:p>
      <w:pPr>
        <w:spacing w:line="540" w:lineRule="exact"/>
        <w:ind w:firstLine="560" w:firstLineChars="200"/>
        <w:rPr>
          <w:rFonts w:ascii="仿宋" w:hAnsi="仿宋" w:eastAsia="仿宋" w:cs="仿宋"/>
          <w:bCs/>
          <w:sz w:val="28"/>
          <w:szCs w:val="28"/>
        </w:rPr>
      </w:pPr>
      <w:r>
        <w:rPr>
          <w:rFonts w:hint="eastAsia" w:ascii="仿宋" w:hAnsi="仿宋" w:eastAsia="仿宋" w:cs="仿宋"/>
          <w:sz w:val="28"/>
          <w:szCs w:val="28"/>
        </w:rPr>
        <w:t>① 增加校园占地面积，</w:t>
      </w:r>
      <w:r>
        <w:rPr>
          <w:rFonts w:hint="eastAsia" w:ascii="仿宋" w:hAnsi="仿宋" w:eastAsia="仿宋" w:cs="仿宋"/>
          <w:bCs/>
          <w:sz w:val="28"/>
          <w:szCs w:val="28"/>
        </w:rPr>
        <w:t>满足各项办学指标要求及活动场地需要。</w:t>
      </w:r>
    </w:p>
    <w:p>
      <w:pPr>
        <w:spacing w:line="540" w:lineRule="exact"/>
        <w:ind w:firstLine="560" w:firstLineChars="200"/>
        <w:rPr>
          <w:rFonts w:ascii="仿宋" w:hAnsi="仿宋" w:eastAsia="仿宋" w:cs="仿宋"/>
          <w:bCs/>
          <w:sz w:val="28"/>
          <w:szCs w:val="28"/>
        </w:rPr>
      </w:pPr>
      <w:r>
        <w:rPr>
          <w:rFonts w:hint="eastAsia" w:ascii="仿宋" w:hAnsi="仿宋" w:eastAsia="仿宋" w:cs="仿宋"/>
          <w:sz w:val="28"/>
          <w:szCs w:val="28"/>
        </w:rPr>
        <w:t>② 增加教学行政用房面积，</w:t>
      </w:r>
      <w:r>
        <w:rPr>
          <w:rFonts w:hint="eastAsia" w:ascii="仿宋" w:hAnsi="仿宋" w:eastAsia="仿宋" w:cs="仿宋"/>
          <w:bCs/>
          <w:sz w:val="28"/>
          <w:szCs w:val="28"/>
        </w:rPr>
        <w:t>满足各类教育教学、师生办公、科研场所需求，满足各类企业共建</w:t>
      </w:r>
      <w:r>
        <w:rPr>
          <w:rFonts w:ascii="仿宋" w:hAnsi="仿宋" w:eastAsia="仿宋" w:cs="仿宋"/>
          <w:bCs/>
          <w:sz w:val="28"/>
          <w:szCs w:val="28"/>
        </w:rPr>
        <w:t>实验</w:t>
      </w:r>
      <w:r>
        <w:rPr>
          <w:rFonts w:hint="eastAsia" w:ascii="仿宋" w:hAnsi="仿宋" w:eastAsia="仿宋" w:cs="仿宋"/>
          <w:bCs/>
          <w:sz w:val="28"/>
          <w:szCs w:val="28"/>
        </w:rPr>
        <w:t>场地</w:t>
      </w:r>
      <w:r>
        <w:rPr>
          <w:rFonts w:ascii="仿宋" w:hAnsi="仿宋" w:eastAsia="仿宋" w:cs="仿宋"/>
          <w:bCs/>
          <w:sz w:val="28"/>
          <w:szCs w:val="28"/>
        </w:rPr>
        <w:t>开展研究，培育</w:t>
      </w:r>
      <w:r>
        <w:rPr>
          <w:rFonts w:hint="eastAsia" w:ascii="仿宋" w:hAnsi="仿宋" w:eastAsia="仿宋" w:cs="仿宋"/>
          <w:bCs/>
          <w:sz w:val="28"/>
          <w:szCs w:val="28"/>
        </w:rPr>
        <w:t>教学</w:t>
      </w:r>
      <w:r>
        <w:rPr>
          <w:rFonts w:ascii="仿宋" w:hAnsi="仿宋" w:eastAsia="仿宋" w:cs="仿宋"/>
          <w:bCs/>
          <w:sz w:val="28"/>
          <w:szCs w:val="28"/>
        </w:rPr>
        <w:t>创新能力。</w:t>
      </w:r>
    </w:p>
    <w:p>
      <w:pPr>
        <w:spacing w:line="540" w:lineRule="exact"/>
        <w:ind w:firstLine="560" w:firstLineChars="200"/>
        <w:rPr>
          <w:rFonts w:ascii="仿宋" w:hAnsi="仿宋" w:eastAsia="仿宋" w:cs="仿宋"/>
          <w:bCs/>
          <w:sz w:val="28"/>
          <w:szCs w:val="28"/>
        </w:rPr>
      </w:pPr>
      <w:r>
        <w:rPr>
          <w:rFonts w:hint="eastAsia" w:ascii="仿宋" w:hAnsi="仿宋" w:eastAsia="仿宋" w:cs="仿宋"/>
          <w:sz w:val="28"/>
          <w:szCs w:val="28"/>
        </w:rPr>
        <w:t>③ 增加学生宿舍面积，</w:t>
      </w:r>
      <w:r>
        <w:rPr>
          <w:rFonts w:hint="eastAsia" w:ascii="仿宋" w:hAnsi="仿宋" w:eastAsia="仿宋" w:cs="仿宋"/>
          <w:bCs/>
          <w:sz w:val="28"/>
          <w:szCs w:val="28"/>
        </w:rPr>
        <w:t>满足学生宿舍人均面积指标，保障床位数量满足招生需求。</w:t>
      </w:r>
    </w:p>
    <w:p>
      <w:pPr>
        <w:keepNext/>
        <w:keepLines/>
        <w:spacing w:line="540" w:lineRule="exact"/>
        <w:ind w:firstLine="562" w:firstLineChars="200"/>
        <w:outlineLvl w:val="3"/>
        <w:rPr>
          <w:rFonts w:ascii="Times New Roman" w:hAnsi="Times New Roman" w:eastAsia="仿宋"/>
          <w:b/>
          <w:sz w:val="28"/>
          <w:szCs w:val="28"/>
        </w:rPr>
      </w:pPr>
      <w:r>
        <w:rPr>
          <w:rFonts w:hint="eastAsia" w:ascii="Times New Roman" w:hAnsi="Times New Roman" w:eastAsia="仿宋"/>
          <w:b/>
          <w:sz w:val="28"/>
          <w:szCs w:val="28"/>
        </w:rPr>
        <w:t>（3）建设目标</w:t>
      </w:r>
    </w:p>
    <w:p>
      <w:pPr>
        <w:spacing w:line="540" w:lineRule="exact"/>
        <w:ind w:firstLine="560" w:firstLineChars="200"/>
        <w:rPr>
          <w:rFonts w:ascii="仿宋" w:hAnsi="仿宋" w:eastAsia="仿宋" w:cs="仿宋"/>
          <w:bCs/>
          <w:sz w:val="28"/>
          <w:szCs w:val="28"/>
        </w:rPr>
      </w:pPr>
      <w:r>
        <w:rPr>
          <w:rFonts w:ascii="仿宋" w:hAnsi="仿宋" w:eastAsia="仿宋" w:cs="仿宋"/>
          <w:bCs/>
          <w:sz w:val="28"/>
          <w:szCs w:val="28"/>
        </w:rPr>
        <w:t>通过实施教学行政用房提升工程，执行节地、节能、节水、节材和环境保护的基本规定，坚持安全、适用、经济、绿色、美观的原则，</w:t>
      </w:r>
      <w:r>
        <w:rPr>
          <w:rFonts w:hint="eastAsia" w:ascii="仿宋" w:hAnsi="仿宋" w:eastAsia="仿宋" w:cs="仿宋"/>
          <w:bCs/>
          <w:sz w:val="28"/>
          <w:szCs w:val="28"/>
        </w:rPr>
        <w:t>优化教学、科研、行政用房的配置，计划三年增加60000㎡教学行政用房，增加20000㎡学生宿舍面积，力争生均教学行政用房面积超过18㎡，</w:t>
      </w:r>
      <w:r>
        <w:rPr>
          <w:rFonts w:ascii="仿宋" w:hAnsi="仿宋" w:eastAsia="仿宋" w:cs="仿宋"/>
          <w:bCs/>
          <w:sz w:val="28"/>
          <w:szCs w:val="28"/>
        </w:rPr>
        <w:t>建设绿色校园、智能化校园，</w:t>
      </w:r>
      <w:r>
        <w:rPr>
          <w:rFonts w:hint="eastAsia" w:ascii="仿宋" w:hAnsi="仿宋" w:eastAsia="仿宋" w:cs="仿宋"/>
          <w:bCs/>
          <w:sz w:val="28"/>
          <w:szCs w:val="28"/>
        </w:rPr>
        <w:t>为社会培养身心健康的毕业生，推动科技进步和社会发展，</w:t>
      </w:r>
      <w:r>
        <w:rPr>
          <w:rFonts w:ascii="仿宋" w:hAnsi="仿宋" w:eastAsia="仿宋" w:cs="仿宋"/>
          <w:bCs/>
          <w:sz w:val="28"/>
          <w:szCs w:val="28"/>
        </w:rPr>
        <w:t>提升学校影响力。</w:t>
      </w:r>
    </w:p>
    <w:p>
      <w:pPr>
        <w:keepNext/>
        <w:keepLines/>
        <w:spacing w:line="540" w:lineRule="exact"/>
        <w:ind w:firstLine="562" w:firstLineChars="200"/>
        <w:outlineLvl w:val="3"/>
        <w:rPr>
          <w:rFonts w:ascii="Times New Roman" w:hAnsi="Times New Roman" w:eastAsia="仿宋"/>
          <w:b/>
          <w:sz w:val="28"/>
          <w:szCs w:val="28"/>
        </w:rPr>
      </w:pPr>
      <w:r>
        <w:rPr>
          <w:rFonts w:hint="eastAsia" w:ascii="Times New Roman" w:hAnsi="Times New Roman" w:eastAsia="仿宋"/>
          <w:b/>
          <w:sz w:val="28"/>
          <w:szCs w:val="28"/>
        </w:rPr>
        <w:t>（4）重点建设任务</w:t>
      </w:r>
    </w:p>
    <w:p>
      <w:pPr>
        <w:spacing w:line="540" w:lineRule="exact"/>
        <w:ind w:firstLine="562" w:firstLineChars="200"/>
        <w:rPr>
          <w:rFonts w:ascii="仿宋" w:hAnsi="仿宋" w:eastAsia="仿宋" w:cs="仿宋"/>
          <w:bCs/>
          <w:sz w:val="28"/>
          <w:szCs w:val="28"/>
        </w:rPr>
      </w:pPr>
      <w:r>
        <w:rPr>
          <w:rFonts w:hint="eastAsia" w:ascii="仿宋" w:hAnsi="仿宋" w:eastAsia="仿宋" w:cs="仿宋"/>
          <w:b/>
          <w:sz w:val="28"/>
          <w:szCs w:val="28"/>
        </w:rPr>
        <w:t>① 增加占地面积。</w:t>
      </w:r>
      <w:r>
        <w:rPr>
          <w:rFonts w:hint="eastAsia" w:ascii="仿宋" w:hAnsi="仿宋" w:eastAsia="仿宋" w:cs="仿宋"/>
          <w:bCs/>
          <w:sz w:val="28"/>
          <w:szCs w:val="28"/>
        </w:rPr>
        <w:t>划拨土地，立项学校四期建设项目，解决教学行政用房缺口。</w:t>
      </w:r>
    </w:p>
    <w:p>
      <w:pPr>
        <w:spacing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学校现有建筑面积220367㎡，占地面积280131㎡，容积率接近0.79，已超出高职学校建设用地的容积率0.5-0.6适宜区间。学校正在积极争取由惠州市统筹将学校西侧迎宾路空出的约12亩土地（筹备地）划拨给学校。由惠州市统筹在学校东南面划拨一整块的 498 亩土地给学校作为农业专业的实验用地，用地性质可不改变。预计增加 339660㎡土地，争取2024年底前完成土地划拨。</w:t>
      </w:r>
    </w:p>
    <w:p>
      <w:pPr>
        <w:spacing w:line="540" w:lineRule="exact"/>
        <w:ind w:firstLine="562" w:firstLineChars="200"/>
        <w:rPr>
          <w:rFonts w:ascii="仿宋" w:hAnsi="仿宋" w:eastAsia="仿宋" w:cs="仿宋"/>
          <w:bCs/>
          <w:sz w:val="28"/>
          <w:szCs w:val="28"/>
        </w:rPr>
      </w:pPr>
      <w:r>
        <w:rPr>
          <w:rFonts w:hint="eastAsia" w:ascii="仿宋" w:hAnsi="仿宋" w:eastAsia="仿宋" w:cs="仿宋"/>
          <w:b/>
          <w:sz w:val="28"/>
          <w:szCs w:val="28"/>
        </w:rPr>
        <w:t>② 增加教学行政用房面积。</w:t>
      </w:r>
      <w:r>
        <w:rPr>
          <w:rFonts w:ascii="仿宋" w:hAnsi="仿宋" w:eastAsia="仿宋" w:cs="仿宋"/>
          <w:bCs/>
          <w:sz w:val="28"/>
          <w:szCs w:val="28"/>
        </w:rPr>
        <w:t>划拨土地，立项学校四期建设项目，解决教学行政用房缺口</w:t>
      </w:r>
      <w:r>
        <w:rPr>
          <w:rFonts w:hint="eastAsia" w:ascii="仿宋" w:hAnsi="仿宋" w:eastAsia="仿宋" w:cs="仿宋"/>
          <w:bCs/>
          <w:sz w:val="28"/>
          <w:szCs w:val="28"/>
        </w:rPr>
        <w:t>。</w:t>
      </w:r>
    </w:p>
    <w:p>
      <w:pPr>
        <w:spacing w:line="540" w:lineRule="exact"/>
        <w:ind w:firstLine="560" w:firstLineChars="200"/>
        <w:rPr>
          <w:rFonts w:ascii="仿宋" w:hAnsi="仿宋" w:eastAsia="仿宋" w:cs="仿宋"/>
          <w:bCs/>
          <w:sz w:val="28"/>
          <w:szCs w:val="28"/>
        </w:rPr>
      </w:pPr>
      <w:r>
        <w:rPr>
          <w:rFonts w:ascii="仿宋" w:hAnsi="仿宋" w:eastAsia="仿宋" w:cs="仿宋"/>
          <w:bCs/>
          <w:sz w:val="28"/>
          <w:szCs w:val="28"/>
        </w:rPr>
        <w:t>争取学校西侧、东侧共70 亩土地</w:t>
      </w:r>
      <w:r>
        <w:rPr>
          <w:rFonts w:hint="eastAsia" w:ascii="仿宋" w:hAnsi="仿宋" w:eastAsia="仿宋" w:cs="仿宋"/>
          <w:bCs/>
          <w:sz w:val="28"/>
          <w:szCs w:val="28"/>
        </w:rPr>
        <w:t>（</w:t>
      </w:r>
      <w:r>
        <w:rPr>
          <w:rFonts w:ascii="仿宋" w:hAnsi="仿宋" w:eastAsia="仿宋" w:cs="仿宋"/>
          <w:bCs/>
          <w:sz w:val="28"/>
          <w:szCs w:val="28"/>
        </w:rPr>
        <w:t>筹备地</w:t>
      </w:r>
      <w:r>
        <w:rPr>
          <w:rFonts w:hint="eastAsia" w:ascii="仿宋" w:hAnsi="仿宋" w:eastAsia="仿宋" w:cs="仿宋"/>
          <w:bCs/>
          <w:sz w:val="28"/>
          <w:szCs w:val="28"/>
        </w:rPr>
        <w:t>）</w:t>
      </w:r>
      <w:r>
        <w:rPr>
          <w:rFonts w:ascii="仿宋" w:hAnsi="仿宋" w:eastAsia="仿宋" w:cs="仿宋"/>
          <w:bCs/>
          <w:sz w:val="28"/>
          <w:szCs w:val="28"/>
        </w:rPr>
        <w:t>划拨给学校</w:t>
      </w:r>
      <w:r>
        <w:rPr>
          <w:rFonts w:hint="eastAsia" w:ascii="仿宋" w:hAnsi="仿宋" w:eastAsia="仿宋" w:cs="仿宋"/>
          <w:bCs/>
          <w:sz w:val="28"/>
          <w:szCs w:val="28"/>
        </w:rPr>
        <w:t>：</w:t>
      </w:r>
      <w:r>
        <w:rPr>
          <w:rFonts w:ascii="仿宋" w:hAnsi="仿宋" w:eastAsia="仿宋" w:cs="仿宋"/>
          <w:bCs/>
          <w:sz w:val="28"/>
          <w:szCs w:val="28"/>
        </w:rPr>
        <w:t>立项四期项目，新建教学行政办公楼。预计增加60000</w:t>
      </w:r>
      <w:r>
        <w:rPr>
          <w:rFonts w:hint="eastAsia" w:ascii="仿宋" w:hAnsi="仿宋" w:eastAsia="仿宋" w:cs="仿宋"/>
          <w:bCs/>
          <w:sz w:val="28"/>
          <w:szCs w:val="28"/>
        </w:rPr>
        <w:t>㎡</w:t>
      </w:r>
      <w:r>
        <w:rPr>
          <w:rFonts w:ascii="仿宋" w:hAnsi="仿宋" w:eastAsia="仿宋" w:cs="仿宋"/>
          <w:bCs/>
          <w:sz w:val="28"/>
          <w:szCs w:val="28"/>
        </w:rPr>
        <w:t>教学行政用房。计划2023年上报土地划拨方案，2024年完成土地划拨，立项四期建设项目，开始建设行政办公楼，2025 年底前完成教学行政办公楼建设。</w:t>
      </w:r>
    </w:p>
    <w:p>
      <w:pPr>
        <w:spacing w:line="540" w:lineRule="exact"/>
        <w:ind w:firstLine="562" w:firstLineChars="200"/>
        <w:rPr>
          <w:rFonts w:ascii="仿宋" w:hAnsi="仿宋" w:eastAsia="仿宋" w:cs="Times New Roman"/>
          <w:sz w:val="28"/>
          <w:szCs w:val="28"/>
        </w:rPr>
      </w:pPr>
      <w:r>
        <w:rPr>
          <w:rFonts w:hint="eastAsia" w:ascii="仿宋" w:hAnsi="仿宋" w:eastAsia="仿宋" w:cs="仿宋"/>
          <w:b/>
          <w:sz w:val="28"/>
          <w:szCs w:val="28"/>
        </w:rPr>
        <w:t>③ 增加学生宿舍面积。</w:t>
      </w:r>
      <w:r>
        <w:rPr>
          <w:rFonts w:hint="eastAsia" w:ascii="仿宋" w:hAnsi="仿宋" w:eastAsia="仿宋" w:cs="Times New Roman"/>
          <w:sz w:val="28"/>
          <w:szCs w:val="28"/>
        </w:rPr>
        <w:t>按照住房和城乡建设部、国家发展和改革委员会《高等职业学校建设标准》（建标197-2019）标准要求，普通、艺术类高等职业技术学校学生宿舍（公寓）建筑面积指标应为（8-10㎡／生），按照指标计算我校学生宿舍建筑面积应达到91632㎡，尚有缺口17544㎡。根据要求编制学生宿舍建设项目储备库，计划增加20000㎡学生宿舍面积。</w:t>
      </w:r>
    </w:p>
    <w:p>
      <w:pPr>
        <w:keepNext/>
        <w:keepLines/>
        <w:spacing w:line="540" w:lineRule="exact"/>
        <w:ind w:firstLine="562" w:firstLineChars="200"/>
        <w:outlineLvl w:val="3"/>
        <w:rPr>
          <w:rFonts w:ascii="Times New Roman" w:hAnsi="Times New Roman" w:eastAsia="仿宋"/>
          <w:b/>
          <w:sz w:val="28"/>
          <w:szCs w:val="28"/>
        </w:rPr>
      </w:pPr>
      <w:r>
        <w:rPr>
          <w:rFonts w:hint="eastAsia" w:ascii="Times New Roman" w:hAnsi="Times New Roman" w:eastAsia="仿宋"/>
          <w:b/>
          <w:sz w:val="28"/>
          <w:szCs w:val="28"/>
        </w:rPr>
        <w:t>（5）建设计划</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7"/>
        <w:gridCol w:w="1896"/>
        <w:gridCol w:w="3540"/>
        <w:gridCol w:w="19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7" w:type="dxa"/>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年度</w:t>
            </w:r>
          </w:p>
        </w:tc>
        <w:tc>
          <w:tcPr>
            <w:tcW w:w="1896" w:type="dxa"/>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建设任务</w:t>
            </w:r>
          </w:p>
        </w:tc>
        <w:tc>
          <w:tcPr>
            <w:tcW w:w="3540" w:type="dxa"/>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建设内容</w:t>
            </w:r>
          </w:p>
        </w:tc>
        <w:tc>
          <w:tcPr>
            <w:tcW w:w="1927" w:type="dxa"/>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负责部门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0" w:hRule="atLeast"/>
          <w:jc w:val="center"/>
        </w:trPr>
        <w:tc>
          <w:tcPr>
            <w:tcW w:w="967" w:type="dxa"/>
            <w:vAlign w:val="center"/>
          </w:tcPr>
          <w:p>
            <w:pPr>
              <w:jc w:val="center"/>
              <w:rPr>
                <w:rFonts w:ascii="仿宋" w:hAnsi="仿宋" w:eastAsia="仿宋" w:cs="仿宋"/>
                <w:bCs/>
                <w:szCs w:val="21"/>
              </w:rPr>
            </w:pPr>
            <w:r>
              <w:rPr>
                <w:rFonts w:hint="eastAsia" w:ascii="仿宋" w:hAnsi="仿宋" w:eastAsia="仿宋" w:cs="仿宋"/>
                <w:b/>
                <w:szCs w:val="21"/>
              </w:rPr>
              <w:t>2023</w:t>
            </w:r>
          </w:p>
        </w:tc>
        <w:tc>
          <w:tcPr>
            <w:tcW w:w="1896" w:type="dxa"/>
            <w:vAlign w:val="center"/>
          </w:tcPr>
          <w:p>
            <w:pPr>
              <w:jc w:val="left"/>
              <w:rPr>
                <w:rFonts w:ascii="仿宋" w:hAnsi="仿宋" w:eastAsia="仿宋" w:cs="仿宋"/>
                <w:bCs/>
                <w:szCs w:val="21"/>
              </w:rPr>
            </w:pPr>
            <w:r>
              <w:rPr>
                <w:rFonts w:ascii="仿宋" w:hAnsi="仿宋" w:eastAsia="仿宋" w:cs="仿宋"/>
                <w:bCs/>
                <w:szCs w:val="21"/>
              </w:rPr>
              <w:t>划拨土地，立项学校四期建设项目，解决教学行政用房缺口。</w:t>
            </w:r>
          </w:p>
          <w:p>
            <w:pPr>
              <w:jc w:val="left"/>
              <w:rPr>
                <w:rFonts w:ascii="仿宋" w:hAnsi="仿宋" w:eastAsia="仿宋" w:cs="仿宋"/>
                <w:bCs/>
                <w:szCs w:val="21"/>
                <w:highlight w:val="yellow"/>
              </w:rPr>
            </w:pPr>
          </w:p>
        </w:tc>
        <w:tc>
          <w:tcPr>
            <w:tcW w:w="3540" w:type="dxa"/>
            <w:vAlign w:val="center"/>
          </w:tcPr>
          <w:p>
            <w:pPr>
              <w:jc w:val="left"/>
              <w:rPr>
                <w:rFonts w:ascii="仿宋" w:hAnsi="仿宋" w:eastAsia="仿宋" w:cs="仿宋"/>
                <w:bCs/>
                <w:szCs w:val="21"/>
                <w:highlight w:val="yellow"/>
              </w:rPr>
            </w:pPr>
            <w:r>
              <w:rPr>
                <w:rFonts w:hint="eastAsia" w:ascii="仿宋" w:hAnsi="仿宋" w:eastAsia="仿宋" w:cs="仿宋"/>
                <w:bCs/>
                <w:szCs w:val="21"/>
              </w:rPr>
              <w:t>积极争取由惠州市统筹将学校西侧迎宾路空出的约12亩土地（筹备地）划拨给学校。由惠州市统筹在学校东南面划拨一整块的 498 亩土地给学校作为农业专业的实验用地，用地性质可不改变。预计增加 339660㎡土地，争取2024年底前完成土地划拨。</w:t>
            </w:r>
          </w:p>
        </w:tc>
        <w:tc>
          <w:tcPr>
            <w:tcW w:w="1927" w:type="dxa"/>
            <w:vAlign w:val="center"/>
          </w:tcPr>
          <w:p>
            <w:pPr>
              <w:jc w:val="left"/>
              <w:rPr>
                <w:rFonts w:ascii="仿宋" w:hAnsi="仿宋" w:eastAsia="仿宋" w:cs="仿宋"/>
                <w:bCs/>
                <w:szCs w:val="21"/>
                <w:highlight w:val="yellow"/>
              </w:rPr>
            </w:pPr>
            <w:r>
              <w:rPr>
                <w:rFonts w:hint="eastAsia" w:ascii="仿宋" w:hAnsi="仿宋" w:eastAsia="仿宋" w:cs="仿宋"/>
                <w:bCs/>
                <w:szCs w:val="21"/>
              </w:rPr>
              <w:t>牵头部门：三期工程项目建设办公室，协助部门：党政办公室、后勤处发展规划处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7" w:type="dxa"/>
            <w:vMerge w:val="restart"/>
            <w:vAlign w:val="center"/>
          </w:tcPr>
          <w:p>
            <w:pPr>
              <w:jc w:val="center"/>
              <w:rPr>
                <w:rFonts w:ascii="仿宋" w:hAnsi="仿宋" w:eastAsia="仿宋" w:cs="仿宋"/>
                <w:bCs/>
                <w:szCs w:val="21"/>
              </w:rPr>
            </w:pPr>
            <w:r>
              <w:rPr>
                <w:rFonts w:hint="eastAsia" w:ascii="仿宋" w:hAnsi="仿宋" w:eastAsia="仿宋" w:cs="仿宋"/>
                <w:b/>
                <w:szCs w:val="21"/>
              </w:rPr>
              <w:t>2024</w:t>
            </w:r>
          </w:p>
        </w:tc>
        <w:tc>
          <w:tcPr>
            <w:tcW w:w="1896" w:type="dxa"/>
            <w:vAlign w:val="center"/>
          </w:tcPr>
          <w:p>
            <w:pPr>
              <w:jc w:val="left"/>
              <w:rPr>
                <w:rFonts w:ascii="仿宋" w:hAnsi="仿宋" w:eastAsia="仿宋" w:cs="仿宋"/>
                <w:bCs/>
                <w:szCs w:val="21"/>
              </w:rPr>
            </w:pPr>
            <w:r>
              <w:rPr>
                <w:rFonts w:hint="eastAsia" w:ascii="仿宋" w:hAnsi="仿宋" w:eastAsia="仿宋" w:cs="仿宋"/>
                <w:bCs/>
                <w:szCs w:val="21"/>
              </w:rPr>
              <w:t>增加教学行政用房面积</w:t>
            </w:r>
            <w:r>
              <w:rPr>
                <w:rFonts w:ascii="仿宋" w:hAnsi="仿宋" w:eastAsia="仿宋" w:cs="仿宋"/>
                <w:bCs/>
                <w:szCs w:val="21"/>
              </w:rPr>
              <w:t>：划拨土地，立项学校四期建设项目，解决教学行政用房缺口</w:t>
            </w:r>
            <w:r>
              <w:rPr>
                <w:rFonts w:hint="eastAsia" w:ascii="仿宋" w:hAnsi="仿宋" w:eastAsia="仿宋" w:cs="仿宋"/>
                <w:bCs/>
                <w:szCs w:val="21"/>
              </w:rPr>
              <w:t>。</w:t>
            </w:r>
          </w:p>
          <w:p>
            <w:pPr>
              <w:jc w:val="left"/>
              <w:rPr>
                <w:rFonts w:ascii="仿宋" w:hAnsi="仿宋" w:eastAsia="仿宋" w:cs="仿宋"/>
                <w:bCs/>
                <w:szCs w:val="21"/>
                <w:highlight w:val="yellow"/>
              </w:rPr>
            </w:pPr>
          </w:p>
        </w:tc>
        <w:tc>
          <w:tcPr>
            <w:tcW w:w="3540" w:type="dxa"/>
            <w:vAlign w:val="center"/>
          </w:tcPr>
          <w:p>
            <w:pPr>
              <w:jc w:val="left"/>
              <w:rPr>
                <w:rFonts w:ascii="仿宋" w:hAnsi="仿宋" w:eastAsia="仿宋" w:cs="仿宋"/>
                <w:bCs/>
                <w:szCs w:val="21"/>
                <w:highlight w:val="yellow"/>
              </w:rPr>
            </w:pPr>
            <w:r>
              <w:rPr>
                <w:rFonts w:ascii="仿宋" w:hAnsi="仿宋" w:eastAsia="仿宋" w:cs="仿宋"/>
                <w:bCs/>
                <w:szCs w:val="21"/>
              </w:rPr>
              <w:t>争取学校西侧、东侧共70 亩土地</w:t>
            </w:r>
            <w:r>
              <w:rPr>
                <w:rFonts w:hint="eastAsia" w:ascii="仿宋" w:hAnsi="仿宋" w:eastAsia="仿宋" w:cs="仿宋"/>
                <w:bCs/>
                <w:szCs w:val="21"/>
              </w:rPr>
              <w:t>（</w:t>
            </w:r>
            <w:r>
              <w:rPr>
                <w:rFonts w:ascii="仿宋" w:hAnsi="仿宋" w:eastAsia="仿宋" w:cs="仿宋"/>
                <w:bCs/>
                <w:szCs w:val="21"/>
              </w:rPr>
              <w:t>筹备地</w:t>
            </w:r>
            <w:r>
              <w:rPr>
                <w:rFonts w:hint="eastAsia" w:ascii="仿宋" w:hAnsi="仿宋" w:eastAsia="仿宋" w:cs="仿宋"/>
                <w:bCs/>
                <w:szCs w:val="21"/>
              </w:rPr>
              <w:t>）</w:t>
            </w:r>
            <w:r>
              <w:rPr>
                <w:rFonts w:ascii="仿宋" w:hAnsi="仿宋" w:eastAsia="仿宋" w:cs="仿宋"/>
                <w:bCs/>
                <w:szCs w:val="21"/>
              </w:rPr>
              <w:t>划拨给学校</w:t>
            </w:r>
            <w:r>
              <w:rPr>
                <w:rFonts w:hint="eastAsia" w:ascii="仿宋" w:hAnsi="仿宋" w:eastAsia="仿宋" w:cs="仿宋"/>
                <w:bCs/>
                <w:szCs w:val="21"/>
              </w:rPr>
              <w:t>：</w:t>
            </w:r>
            <w:r>
              <w:rPr>
                <w:rFonts w:ascii="仿宋" w:hAnsi="仿宋" w:eastAsia="仿宋" w:cs="仿宋"/>
                <w:bCs/>
                <w:szCs w:val="21"/>
              </w:rPr>
              <w:t>立项四期项目，新建教学行政办公楼。预计增加60000</w:t>
            </w:r>
            <w:r>
              <w:rPr>
                <w:rFonts w:hint="eastAsia" w:ascii="仿宋" w:hAnsi="仿宋" w:eastAsia="仿宋" w:cs="仿宋"/>
                <w:bCs/>
                <w:szCs w:val="21"/>
              </w:rPr>
              <w:t>㎡</w:t>
            </w:r>
            <w:r>
              <w:rPr>
                <w:rFonts w:ascii="仿宋" w:hAnsi="仿宋" w:eastAsia="仿宋" w:cs="仿宋"/>
                <w:bCs/>
                <w:szCs w:val="21"/>
              </w:rPr>
              <w:t>教学行政用房。计划202</w:t>
            </w:r>
            <w:r>
              <w:rPr>
                <w:rFonts w:hint="eastAsia" w:ascii="仿宋" w:hAnsi="仿宋" w:eastAsia="仿宋" w:cs="仿宋"/>
                <w:bCs/>
                <w:szCs w:val="21"/>
              </w:rPr>
              <w:t>4</w:t>
            </w:r>
            <w:r>
              <w:rPr>
                <w:rFonts w:ascii="仿宋" w:hAnsi="仿宋" w:eastAsia="仿宋" w:cs="仿宋"/>
                <w:bCs/>
                <w:szCs w:val="21"/>
              </w:rPr>
              <w:t>年上报土地划拨方案，202</w:t>
            </w:r>
            <w:r>
              <w:rPr>
                <w:rFonts w:hint="eastAsia" w:ascii="仿宋" w:hAnsi="仿宋" w:eastAsia="仿宋" w:cs="仿宋"/>
                <w:bCs/>
                <w:szCs w:val="21"/>
              </w:rPr>
              <w:t>5</w:t>
            </w:r>
            <w:r>
              <w:rPr>
                <w:rFonts w:ascii="仿宋" w:hAnsi="仿宋" w:eastAsia="仿宋" w:cs="仿宋"/>
                <w:bCs/>
                <w:szCs w:val="21"/>
              </w:rPr>
              <w:t>年完成土地划拨，立项四期建设项目，开始建设行政办公楼，202</w:t>
            </w:r>
            <w:r>
              <w:rPr>
                <w:rFonts w:hint="eastAsia" w:ascii="仿宋" w:hAnsi="仿宋" w:eastAsia="仿宋" w:cs="仿宋"/>
                <w:bCs/>
                <w:szCs w:val="21"/>
              </w:rPr>
              <w:t>5</w:t>
            </w:r>
            <w:r>
              <w:rPr>
                <w:rFonts w:ascii="仿宋" w:hAnsi="仿宋" w:eastAsia="仿宋" w:cs="仿宋"/>
                <w:bCs/>
                <w:szCs w:val="21"/>
              </w:rPr>
              <w:t>年底前完成教学行政办公楼建设。</w:t>
            </w:r>
          </w:p>
        </w:tc>
        <w:tc>
          <w:tcPr>
            <w:tcW w:w="1927" w:type="dxa"/>
            <w:vAlign w:val="center"/>
          </w:tcPr>
          <w:p>
            <w:pPr>
              <w:jc w:val="left"/>
              <w:rPr>
                <w:rFonts w:ascii="仿宋" w:hAnsi="仿宋" w:eastAsia="仿宋" w:cs="仿宋"/>
                <w:bCs/>
                <w:szCs w:val="21"/>
              </w:rPr>
            </w:pPr>
            <w:r>
              <w:rPr>
                <w:rFonts w:hint="eastAsia" w:ascii="仿宋" w:hAnsi="仿宋" w:eastAsia="仿宋" w:cs="仿宋"/>
                <w:bCs/>
                <w:szCs w:val="21"/>
              </w:rPr>
              <w:t>牵头部门：三期工程项目建设办公室，协助部门：党政办公室、后勤处、发展规划处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0" w:hRule="atLeast"/>
          <w:jc w:val="center"/>
        </w:trPr>
        <w:tc>
          <w:tcPr>
            <w:tcW w:w="967" w:type="dxa"/>
            <w:vMerge w:val="continue"/>
            <w:vAlign w:val="center"/>
          </w:tcPr>
          <w:p>
            <w:pPr>
              <w:jc w:val="center"/>
              <w:rPr>
                <w:rFonts w:ascii="仿宋" w:hAnsi="仿宋" w:eastAsia="仿宋" w:cs="仿宋"/>
                <w:bCs/>
                <w:szCs w:val="21"/>
              </w:rPr>
            </w:pPr>
          </w:p>
        </w:tc>
        <w:tc>
          <w:tcPr>
            <w:tcW w:w="1896" w:type="dxa"/>
            <w:vAlign w:val="center"/>
          </w:tcPr>
          <w:p>
            <w:pPr>
              <w:jc w:val="left"/>
              <w:rPr>
                <w:rFonts w:ascii="仿宋" w:hAnsi="仿宋" w:eastAsia="仿宋" w:cs="仿宋"/>
                <w:bCs/>
                <w:szCs w:val="21"/>
                <w:highlight w:val="yellow"/>
              </w:rPr>
            </w:pPr>
            <w:r>
              <w:rPr>
                <w:rFonts w:hint="eastAsia" w:ascii="仿宋" w:hAnsi="仿宋" w:eastAsia="仿宋" w:cs="仿宋"/>
                <w:bCs/>
                <w:szCs w:val="21"/>
              </w:rPr>
              <w:t>增加学生宿舍面积</w:t>
            </w:r>
          </w:p>
        </w:tc>
        <w:tc>
          <w:tcPr>
            <w:tcW w:w="3540" w:type="dxa"/>
            <w:vAlign w:val="center"/>
          </w:tcPr>
          <w:p>
            <w:pPr>
              <w:jc w:val="left"/>
              <w:rPr>
                <w:rFonts w:ascii="仿宋" w:hAnsi="仿宋" w:eastAsia="仿宋" w:cs="仿宋"/>
                <w:bCs/>
                <w:szCs w:val="21"/>
                <w:highlight w:val="yellow"/>
              </w:rPr>
            </w:pPr>
            <w:r>
              <w:rPr>
                <w:rFonts w:hint="eastAsia" w:ascii="仿宋" w:hAnsi="仿宋" w:eastAsia="仿宋" w:cs="仿宋"/>
                <w:bCs/>
                <w:szCs w:val="21"/>
              </w:rPr>
              <w:t>根据要求编制学生宿舍建设项目储备库，计划增加20000㎡学生宿舍面积。</w:t>
            </w:r>
            <w:r>
              <w:rPr>
                <w:rFonts w:ascii="仿宋" w:hAnsi="仿宋" w:eastAsia="仿宋" w:cs="仿宋"/>
                <w:bCs/>
                <w:szCs w:val="21"/>
              </w:rPr>
              <w:t>立项四期建设项目，开始建设</w:t>
            </w:r>
            <w:r>
              <w:rPr>
                <w:rFonts w:hint="eastAsia" w:ascii="仿宋" w:hAnsi="仿宋" w:eastAsia="仿宋" w:cs="仿宋"/>
                <w:bCs/>
                <w:szCs w:val="21"/>
              </w:rPr>
              <w:t>学生宿舍</w:t>
            </w:r>
            <w:r>
              <w:rPr>
                <w:rFonts w:ascii="仿宋" w:hAnsi="仿宋" w:eastAsia="仿宋" w:cs="仿宋"/>
                <w:bCs/>
                <w:szCs w:val="21"/>
              </w:rPr>
              <w:t>，202</w:t>
            </w:r>
            <w:r>
              <w:rPr>
                <w:rFonts w:hint="eastAsia" w:ascii="仿宋" w:hAnsi="仿宋" w:eastAsia="仿宋" w:cs="仿宋"/>
                <w:bCs/>
                <w:szCs w:val="21"/>
              </w:rPr>
              <w:t>5</w:t>
            </w:r>
            <w:r>
              <w:rPr>
                <w:rFonts w:ascii="仿宋" w:hAnsi="仿宋" w:eastAsia="仿宋" w:cs="仿宋"/>
                <w:bCs/>
                <w:szCs w:val="21"/>
              </w:rPr>
              <w:t xml:space="preserve"> 年底前完成</w:t>
            </w:r>
            <w:r>
              <w:rPr>
                <w:rFonts w:hint="eastAsia" w:ascii="仿宋" w:hAnsi="仿宋" w:eastAsia="仿宋" w:cs="仿宋"/>
                <w:bCs/>
                <w:szCs w:val="21"/>
              </w:rPr>
              <w:t>学生宿舍</w:t>
            </w:r>
            <w:r>
              <w:rPr>
                <w:rFonts w:ascii="仿宋" w:hAnsi="仿宋" w:eastAsia="仿宋" w:cs="仿宋"/>
                <w:bCs/>
                <w:szCs w:val="21"/>
              </w:rPr>
              <w:t>建设。</w:t>
            </w:r>
          </w:p>
        </w:tc>
        <w:tc>
          <w:tcPr>
            <w:tcW w:w="1927" w:type="dxa"/>
            <w:vAlign w:val="center"/>
          </w:tcPr>
          <w:p>
            <w:pPr>
              <w:jc w:val="left"/>
              <w:rPr>
                <w:rFonts w:ascii="仿宋" w:hAnsi="仿宋" w:eastAsia="仿宋" w:cs="仿宋"/>
                <w:bCs/>
                <w:szCs w:val="21"/>
              </w:rPr>
            </w:pPr>
            <w:r>
              <w:rPr>
                <w:rFonts w:hint="eastAsia" w:ascii="仿宋" w:hAnsi="仿宋" w:eastAsia="仿宋" w:cs="仿宋"/>
                <w:bCs/>
                <w:szCs w:val="21"/>
              </w:rPr>
              <w:t>牵头部门：三期工程项目建设办公室，协助部门：党政办公室、后勤处、发展规划处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7" w:type="dxa"/>
            <w:vAlign w:val="center"/>
          </w:tcPr>
          <w:p>
            <w:pPr>
              <w:jc w:val="center"/>
              <w:rPr>
                <w:rFonts w:ascii="仿宋" w:hAnsi="仿宋" w:eastAsia="仿宋" w:cs="仿宋"/>
                <w:bCs/>
                <w:szCs w:val="21"/>
              </w:rPr>
            </w:pPr>
            <w:r>
              <w:rPr>
                <w:rFonts w:hint="eastAsia" w:ascii="仿宋" w:hAnsi="仿宋" w:eastAsia="仿宋" w:cs="仿宋"/>
                <w:b/>
                <w:szCs w:val="21"/>
              </w:rPr>
              <w:t>2025</w:t>
            </w:r>
          </w:p>
        </w:tc>
        <w:tc>
          <w:tcPr>
            <w:tcW w:w="1896" w:type="dxa"/>
            <w:vAlign w:val="center"/>
          </w:tcPr>
          <w:p>
            <w:pPr>
              <w:jc w:val="left"/>
              <w:rPr>
                <w:rFonts w:ascii="仿宋" w:hAnsi="仿宋" w:eastAsia="仿宋" w:cs="仿宋"/>
                <w:bCs/>
                <w:szCs w:val="21"/>
                <w:highlight w:val="yellow"/>
              </w:rPr>
            </w:pPr>
            <w:r>
              <w:rPr>
                <w:rFonts w:hint="eastAsia" w:ascii="仿宋" w:hAnsi="仿宋" w:eastAsia="仿宋" w:cs="仿宋"/>
                <w:bCs/>
                <w:szCs w:val="21"/>
              </w:rPr>
              <w:t>完成教学行政用房面积及学生宿舍面积达标</w:t>
            </w:r>
          </w:p>
        </w:tc>
        <w:tc>
          <w:tcPr>
            <w:tcW w:w="3540" w:type="dxa"/>
            <w:vAlign w:val="center"/>
          </w:tcPr>
          <w:p>
            <w:pPr>
              <w:jc w:val="left"/>
              <w:rPr>
                <w:rFonts w:ascii="仿宋" w:hAnsi="仿宋" w:eastAsia="仿宋" w:cs="仿宋"/>
                <w:bCs/>
                <w:szCs w:val="21"/>
              </w:rPr>
            </w:pPr>
            <w:r>
              <w:rPr>
                <w:rFonts w:hint="eastAsia" w:ascii="仿宋" w:hAnsi="仿宋" w:eastAsia="仿宋" w:cs="仿宋"/>
                <w:bCs/>
                <w:szCs w:val="21"/>
              </w:rPr>
              <w:t>推进教学楼及学生宿舍楼建设，争取于2025年完成全面建设任务</w:t>
            </w:r>
          </w:p>
          <w:p>
            <w:pPr>
              <w:jc w:val="left"/>
              <w:rPr>
                <w:rFonts w:ascii="仿宋" w:hAnsi="仿宋" w:eastAsia="仿宋" w:cs="仿宋"/>
                <w:bCs/>
                <w:szCs w:val="21"/>
                <w:highlight w:val="yellow"/>
              </w:rPr>
            </w:pPr>
          </w:p>
        </w:tc>
        <w:tc>
          <w:tcPr>
            <w:tcW w:w="1927" w:type="dxa"/>
            <w:vAlign w:val="center"/>
          </w:tcPr>
          <w:p>
            <w:pPr>
              <w:jc w:val="left"/>
              <w:rPr>
                <w:rFonts w:ascii="仿宋" w:hAnsi="仿宋" w:eastAsia="仿宋" w:cs="仿宋"/>
                <w:bCs/>
                <w:szCs w:val="21"/>
              </w:rPr>
            </w:pPr>
            <w:r>
              <w:rPr>
                <w:rFonts w:hint="eastAsia" w:ascii="仿宋" w:hAnsi="仿宋" w:eastAsia="仿宋" w:cs="仿宋"/>
                <w:bCs/>
                <w:szCs w:val="21"/>
              </w:rPr>
              <w:t>牵头部门：三期工程项目建设办公室，协助部门：党政办公室、后勤处、发展规划处</w:t>
            </w:r>
          </w:p>
        </w:tc>
      </w:tr>
    </w:tbl>
    <w:p>
      <w:pPr>
        <w:keepNext/>
        <w:keepLines/>
        <w:spacing w:line="540" w:lineRule="exact"/>
        <w:ind w:firstLine="562" w:firstLineChars="200"/>
        <w:outlineLvl w:val="3"/>
        <w:rPr>
          <w:rFonts w:ascii="Times New Roman" w:hAnsi="Times New Roman" w:eastAsia="仿宋"/>
          <w:b/>
          <w:sz w:val="28"/>
          <w:szCs w:val="28"/>
        </w:rPr>
      </w:pPr>
      <w:r>
        <w:rPr>
          <w:rFonts w:hint="eastAsia" w:ascii="Times New Roman" w:hAnsi="Times New Roman" w:eastAsia="仿宋"/>
          <w:b/>
          <w:sz w:val="28"/>
          <w:szCs w:val="28"/>
        </w:rPr>
        <w:t>（6）预期成效及资金测算</w:t>
      </w:r>
    </w:p>
    <w:tbl>
      <w:tblPr>
        <w:tblStyle w:val="16"/>
        <w:tblW w:w="0" w:type="auto"/>
        <w:jc w:val="center"/>
        <w:tblLayout w:type="autofit"/>
        <w:tblCellMar>
          <w:top w:w="15" w:type="dxa"/>
          <w:left w:w="15" w:type="dxa"/>
          <w:bottom w:w="15" w:type="dxa"/>
          <w:right w:w="15" w:type="dxa"/>
        </w:tblCellMar>
      </w:tblPr>
      <w:tblGrid>
        <w:gridCol w:w="1282"/>
        <w:gridCol w:w="1896"/>
        <w:gridCol w:w="3246"/>
        <w:gridCol w:w="637"/>
        <w:gridCol w:w="638"/>
        <w:gridCol w:w="637"/>
      </w:tblGrid>
      <w:tr>
        <w:tblPrEx>
          <w:tblCellMar>
            <w:top w:w="15" w:type="dxa"/>
            <w:left w:w="15" w:type="dxa"/>
            <w:bottom w:w="15" w:type="dxa"/>
            <w:right w:w="15" w:type="dxa"/>
          </w:tblCellMar>
        </w:tblPrEx>
        <w:trPr>
          <w:trHeight w:val="301" w:hRule="atLeast"/>
          <w:jc w:val="center"/>
        </w:trPr>
        <w:tc>
          <w:tcPr>
            <w:tcW w:w="1282" w:type="dxa"/>
            <w:vMerge w:val="restart"/>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项目名称</w:t>
            </w:r>
          </w:p>
        </w:tc>
        <w:tc>
          <w:tcPr>
            <w:tcW w:w="1896" w:type="dxa"/>
            <w:vMerge w:val="restart"/>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主要建设内容</w:t>
            </w:r>
          </w:p>
        </w:tc>
        <w:tc>
          <w:tcPr>
            <w:tcW w:w="3245" w:type="dxa"/>
            <w:vMerge w:val="restart"/>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预期建设成效</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建设资金安排表（万元）</w:t>
            </w:r>
          </w:p>
        </w:tc>
      </w:tr>
      <w:tr>
        <w:tblPrEx>
          <w:tblCellMar>
            <w:top w:w="15" w:type="dxa"/>
            <w:left w:w="15" w:type="dxa"/>
            <w:bottom w:w="15" w:type="dxa"/>
            <w:right w:w="15" w:type="dxa"/>
          </w:tblCellMar>
        </w:tblPrEx>
        <w:trPr>
          <w:trHeight w:val="286" w:hRule="atLeast"/>
          <w:jc w:val="center"/>
        </w:trPr>
        <w:tc>
          <w:tcPr>
            <w:tcW w:w="1282" w:type="dxa"/>
            <w:vMerge w:val="continue"/>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jc w:val="center"/>
              <w:rPr>
                <w:rFonts w:ascii="仿宋" w:hAnsi="仿宋" w:eastAsia="仿宋" w:cs="仿宋"/>
                <w:b/>
                <w:bCs/>
                <w:color w:val="000000"/>
                <w:szCs w:val="21"/>
              </w:rPr>
            </w:pPr>
          </w:p>
        </w:tc>
        <w:tc>
          <w:tcPr>
            <w:tcW w:w="1896" w:type="dxa"/>
            <w:vMerge w:val="continue"/>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jc w:val="center"/>
              <w:rPr>
                <w:rFonts w:ascii="仿宋" w:hAnsi="仿宋" w:eastAsia="仿宋" w:cs="仿宋"/>
                <w:b/>
                <w:bCs/>
                <w:color w:val="000000"/>
                <w:szCs w:val="21"/>
              </w:rPr>
            </w:pPr>
          </w:p>
        </w:tc>
        <w:tc>
          <w:tcPr>
            <w:tcW w:w="3245" w:type="dxa"/>
            <w:vMerge w:val="continue"/>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jc w:val="center"/>
              <w:rPr>
                <w:rFonts w:ascii="仿宋" w:hAnsi="仿宋" w:eastAsia="仿宋" w:cs="仿宋"/>
                <w:b/>
                <w:bCs/>
                <w:color w:val="000000"/>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kern w:val="0"/>
                <w:szCs w:val="21"/>
                <w:lang w:bidi="ar"/>
              </w:rPr>
            </w:pPr>
            <w:r>
              <w:rPr>
                <w:rFonts w:hint="eastAsia" w:ascii="仿宋" w:hAnsi="仿宋" w:eastAsia="仿宋" w:cs="仿宋"/>
                <w:b/>
                <w:bCs/>
                <w:color w:val="000000"/>
                <w:kern w:val="0"/>
                <w:szCs w:val="21"/>
                <w:lang w:bidi="ar"/>
              </w:rPr>
              <w:t>2023年</w:t>
            </w:r>
          </w:p>
        </w:tc>
        <w:tc>
          <w:tcPr>
            <w:tcW w:w="0" w:type="auto"/>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2024年</w:t>
            </w:r>
          </w:p>
        </w:tc>
        <w:tc>
          <w:tcPr>
            <w:tcW w:w="0" w:type="auto"/>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2025年</w:t>
            </w:r>
          </w:p>
        </w:tc>
      </w:tr>
      <w:tr>
        <w:tblPrEx>
          <w:tblCellMar>
            <w:top w:w="15" w:type="dxa"/>
            <w:left w:w="15" w:type="dxa"/>
            <w:bottom w:w="15" w:type="dxa"/>
            <w:right w:w="15" w:type="dxa"/>
          </w:tblCellMar>
        </w:tblPrEx>
        <w:trPr>
          <w:trHeight w:val="450" w:hRule="atLeast"/>
          <w:jc w:val="center"/>
        </w:trPr>
        <w:tc>
          <w:tcPr>
            <w:tcW w:w="1282"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bCs/>
                <w:szCs w:val="21"/>
              </w:rPr>
            </w:pPr>
            <w:r>
              <w:rPr>
                <w:rFonts w:hint="eastAsia" w:ascii="仿宋" w:hAnsi="仿宋" w:eastAsia="仿宋" w:cs="仿宋"/>
                <w:b/>
                <w:szCs w:val="21"/>
              </w:rPr>
              <w:t>教学行政用房提升工程</w:t>
            </w:r>
          </w:p>
        </w:tc>
        <w:tc>
          <w:tcPr>
            <w:tcW w:w="1896"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仿宋"/>
                <w:bCs/>
                <w:szCs w:val="21"/>
              </w:rPr>
            </w:pPr>
            <w:r>
              <w:rPr>
                <w:rFonts w:hint="eastAsia" w:ascii="仿宋" w:hAnsi="仿宋" w:eastAsia="仿宋" w:cs="仿宋"/>
                <w:bCs/>
                <w:szCs w:val="21"/>
              </w:rPr>
              <w:t>挖潜现有资源，完善现有教学行政用房条件，划拨土地，新建教学楼和学生宿舍。</w:t>
            </w:r>
          </w:p>
        </w:tc>
        <w:tc>
          <w:tcPr>
            <w:tcW w:w="3245"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仿宋"/>
                <w:color w:val="000000"/>
                <w:szCs w:val="21"/>
              </w:rPr>
            </w:pPr>
            <w:r>
              <w:rPr>
                <w:rFonts w:hint="eastAsia" w:ascii="仿宋" w:hAnsi="仿宋" w:eastAsia="仿宋" w:cs="仿宋"/>
                <w:bCs/>
                <w:szCs w:val="21"/>
              </w:rPr>
              <w:t>通过实施教学行政用房提升工程，执行节地、节能、节水、节材和环境保护的基本规定，坚持安全、适用、经济、绿色、美观的原则，优化教学、科研、行政用房的配置，计划三年增加60000㎡教学行政用房，增加20000㎡学生宿舍面积，力争生均教学行政用房面积超过18㎡，建设绿色校园、智能化校园，为社会培养身心健康的毕业生，推动科技进步和社会发展，提升学校影响力。</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Cs w:val="21"/>
              </w:rPr>
            </w:pPr>
            <w:r>
              <w:rPr>
                <w:rFonts w:hint="eastAsia" w:ascii="仿宋" w:hAnsi="仿宋" w:eastAsia="仿宋" w:cs="仿宋"/>
                <w:color w:val="000000"/>
                <w:szCs w:val="21"/>
              </w:rPr>
              <w:t>0</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Cs w:val="21"/>
              </w:rPr>
            </w:pPr>
            <w:r>
              <w:rPr>
                <w:rFonts w:hint="eastAsia" w:ascii="仿宋" w:hAnsi="仿宋" w:eastAsia="仿宋" w:cs="仿宋"/>
                <w:color w:val="000000"/>
                <w:szCs w:val="21"/>
              </w:rPr>
              <w:t>3000</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Cs w:val="21"/>
              </w:rPr>
            </w:pPr>
            <w:r>
              <w:rPr>
                <w:rFonts w:hint="eastAsia" w:ascii="仿宋" w:hAnsi="仿宋" w:eastAsia="仿宋" w:cs="仿宋"/>
                <w:color w:val="000000"/>
                <w:szCs w:val="21"/>
              </w:rPr>
              <w:t>5000</w:t>
            </w:r>
          </w:p>
        </w:tc>
      </w:tr>
    </w:tbl>
    <w:p>
      <w:pPr>
        <w:pStyle w:val="4"/>
      </w:pPr>
      <w:bookmarkStart w:id="36" w:name="_Toc31974"/>
      <w:r>
        <w:rPr>
          <w:rFonts w:hint="eastAsia"/>
        </w:rPr>
        <w:fldChar w:fldCharType="end"/>
      </w:r>
      <w:bookmarkEnd w:id="36"/>
    </w:p>
    <w:p>
      <w:pPr>
        <w:pStyle w:val="4"/>
      </w:pPr>
      <w:bookmarkStart w:id="37" w:name="_Toc164347835"/>
      <w:r>
        <w:t>3.</w:t>
      </w:r>
      <w:bookmarkStart w:id="38" w:name="_Toc2218"/>
      <w:r>
        <w:rPr>
          <w:rFonts w:hint="eastAsia"/>
        </w:rPr>
        <w:fldChar w:fldCharType="begin"/>
      </w:r>
      <w:r>
        <w:rPr>
          <w:rFonts w:hint="eastAsia"/>
        </w:rPr>
        <w:instrText xml:space="preserve"> HYPERLINK \l "_Toc19163" </w:instrText>
      </w:r>
      <w:r>
        <w:rPr>
          <w:rFonts w:hint="eastAsia"/>
        </w:rPr>
        <w:fldChar w:fldCharType="separate"/>
      </w:r>
      <w:r>
        <w:rPr>
          <w:rFonts w:hint="eastAsia"/>
        </w:rPr>
        <w:t>实训场所提升工程</w:t>
      </w:r>
      <w:bookmarkEnd w:id="37"/>
      <w:r>
        <w:rPr>
          <w:rFonts w:hint="eastAsia"/>
        </w:rPr>
        <w:fldChar w:fldCharType="end"/>
      </w:r>
      <w:bookmarkEnd w:id="38"/>
    </w:p>
    <w:p>
      <w:pPr>
        <w:keepNext/>
        <w:keepLines/>
        <w:spacing w:line="540" w:lineRule="exact"/>
        <w:ind w:firstLine="562" w:firstLineChars="200"/>
        <w:outlineLvl w:val="3"/>
        <w:rPr>
          <w:rFonts w:ascii="Times New Roman" w:hAnsi="Times New Roman" w:eastAsia="仿宋"/>
          <w:b/>
          <w:sz w:val="28"/>
          <w:szCs w:val="28"/>
        </w:rPr>
      </w:pPr>
      <w:r>
        <w:rPr>
          <w:rFonts w:hint="eastAsia" w:ascii="Times New Roman" w:hAnsi="Times New Roman" w:eastAsia="仿宋"/>
          <w:b/>
          <w:sz w:val="28"/>
          <w:szCs w:val="28"/>
        </w:rPr>
        <w:t>（1）必要性和可行性</w:t>
      </w:r>
    </w:p>
    <w:p>
      <w:pPr>
        <w:spacing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高职院校肩负培养高素质技术技能人才的重任，必须将新技术、新工艺、新规范等先进元素纳入培养规格和课程实施中，坚持人才培养的“技术引领”。高职院校学生毕业后应当成为具备行业企业岗位胜任能力的技术技能型人才。因此，高职院校不断提升实验实训场所，有助于提升教学质量，提高学生的实践能力和创新精神，培养更多具有实际操作能</w:t>
      </w:r>
      <w:r>
        <w:rPr>
          <w:rFonts w:ascii="仿宋" w:hAnsi="仿宋" w:eastAsia="仿宋" w:cs="仿宋"/>
          <w:bCs/>
          <w:sz w:val="28"/>
          <w:szCs w:val="28"/>
        </w:rPr>
        <w:t>力和问题解决能力的高素质技能型人才</w:t>
      </w:r>
      <w:r>
        <w:rPr>
          <w:rFonts w:hint="eastAsia" w:ascii="仿宋" w:hAnsi="仿宋" w:eastAsia="仿宋" w:cs="仿宋"/>
          <w:bCs/>
          <w:sz w:val="28"/>
          <w:szCs w:val="28"/>
        </w:rPr>
        <w:t>，也</w:t>
      </w:r>
      <w:r>
        <w:rPr>
          <w:rFonts w:ascii="仿宋" w:hAnsi="仿宋" w:eastAsia="仿宋" w:cs="仿宋"/>
          <w:bCs/>
          <w:sz w:val="28"/>
          <w:szCs w:val="28"/>
        </w:rPr>
        <w:t>有助于推动高职院校与企业、行业的紧密合作。通过与企业共建实训基地、引入企业设备和技术、开展校企合作项目等方式，可以实现资源共享、优势互补，提高人才培养的针对性和实效性。这不仅有助于提高学生的就业竞争力，也能为企业输送更多符合需求的高素质人才。</w:t>
      </w:r>
    </w:p>
    <w:p>
      <w:pPr>
        <w:spacing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学校的目标愿景是成为</w:t>
      </w:r>
      <w:r>
        <w:rPr>
          <w:rFonts w:ascii="仿宋" w:hAnsi="仿宋" w:eastAsia="仿宋" w:cs="仿宋"/>
          <w:bCs/>
          <w:sz w:val="28"/>
          <w:szCs w:val="28"/>
        </w:rPr>
        <w:t>粤港澳大湾区高端产业和产业高端创新人才培养高地、产教融合和科教融汇示范高地、科研及培训服务高地。</w:t>
      </w:r>
    </w:p>
    <w:p>
      <w:pPr>
        <w:spacing w:line="540" w:lineRule="exact"/>
        <w:rPr>
          <w:rFonts w:ascii="仿宋" w:hAnsi="仿宋" w:eastAsia="仿宋" w:cs="仿宋"/>
          <w:bCs/>
          <w:sz w:val="28"/>
          <w:szCs w:val="28"/>
        </w:rPr>
      </w:pPr>
      <w:r>
        <w:rPr>
          <w:rFonts w:hint="eastAsia" w:ascii="仿宋" w:hAnsi="仿宋" w:eastAsia="仿宋" w:cs="仿宋"/>
          <w:bCs/>
          <w:sz w:val="28"/>
          <w:szCs w:val="28"/>
        </w:rPr>
        <w:t>经过学校二期和三期建设，我校实验实训条件提升明显，为继续提升实训场所提供了建设经验基础和设备基础。</w:t>
      </w:r>
    </w:p>
    <w:p>
      <w:pPr>
        <w:keepNext/>
        <w:keepLines/>
        <w:spacing w:line="540" w:lineRule="exact"/>
        <w:ind w:firstLine="562" w:firstLineChars="200"/>
        <w:outlineLvl w:val="3"/>
        <w:rPr>
          <w:rFonts w:ascii="Times New Roman" w:hAnsi="Times New Roman" w:eastAsia="仿宋"/>
          <w:b/>
          <w:sz w:val="28"/>
          <w:szCs w:val="28"/>
        </w:rPr>
      </w:pPr>
      <w:r>
        <w:rPr>
          <w:rFonts w:hint="eastAsia" w:ascii="Times New Roman" w:hAnsi="Times New Roman" w:eastAsia="仿宋"/>
          <w:b/>
          <w:sz w:val="28"/>
          <w:szCs w:val="28"/>
        </w:rPr>
        <w:t>（2）拟解决的关键问题</w:t>
      </w:r>
    </w:p>
    <w:p>
      <w:pPr>
        <w:spacing w:line="540" w:lineRule="exact"/>
        <w:ind w:firstLine="560" w:firstLineChars="200"/>
        <w:rPr>
          <w:rFonts w:ascii="仿宋" w:hAnsi="仿宋" w:eastAsia="仿宋" w:cs="仿宋"/>
          <w:b w:val="0"/>
          <w:bCs/>
          <w:sz w:val="28"/>
          <w:szCs w:val="28"/>
        </w:rPr>
      </w:pPr>
      <w:r>
        <w:rPr>
          <w:rFonts w:hint="eastAsia" w:ascii="仿宋" w:hAnsi="仿宋" w:eastAsia="仿宋" w:cs="仿宋"/>
          <w:b w:val="0"/>
          <w:bCs/>
          <w:sz w:val="28"/>
          <w:szCs w:val="28"/>
        </w:rPr>
        <w:t xml:space="preserve">① </w:t>
      </w:r>
      <w:r>
        <w:rPr>
          <w:rFonts w:ascii="仿宋" w:hAnsi="仿宋" w:eastAsia="仿宋" w:cs="仿宋"/>
          <w:b w:val="0"/>
          <w:bCs/>
          <w:sz w:val="28"/>
          <w:szCs w:val="28"/>
        </w:rPr>
        <w:t>开放共享</w:t>
      </w:r>
      <w:r>
        <w:rPr>
          <w:rFonts w:hint="eastAsia" w:ascii="仿宋" w:hAnsi="仿宋" w:eastAsia="仿宋" w:cs="仿宋"/>
          <w:b w:val="0"/>
          <w:bCs/>
          <w:sz w:val="28"/>
          <w:szCs w:val="28"/>
        </w:rPr>
        <w:t>。</w:t>
      </w:r>
      <w:r>
        <w:rPr>
          <w:rFonts w:ascii="仿宋" w:hAnsi="仿宋" w:eastAsia="仿宋" w:cs="仿宋"/>
          <w:b w:val="0"/>
          <w:bCs/>
          <w:sz w:val="28"/>
          <w:szCs w:val="28"/>
        </w:rPr>
        <w:t>打破学科壁垒，实现实验室资源的开放共享，促进学科交叉融合</w:t>
      </w:r>
      <w:r>
        <w:rPr>
          <w:rFonts w:hint="eastAsia" w:ascii="仿宋" w:hAnsi="仿宋" w:eastAsia="仿宋" w:cs="仿宋"/>
          <w:b w:val="0"/>
          <w:bCs/>
          <w:sz w:val="28"/>
          <w:szCs w:val="28"/>
        </w:rPr>
        <w:t>。</w:t>
      </w:r>
    </w:p>
    <w:p>
      <w:pPr>
        <w:spacing w:line="540" w:lineRule="exact"/>
        <w:ind w:firstLine="560" w:firstLineChars="200"/>
        <w:rPr>
          <w:rFonts w:ascii="仿宋" w:hAnsi="仿宋" w:eastAsia="仿宋" w:cs="仿宋"/>
          <w:b w:val="0"/>
          <w:bCs/>
          <w:sz w:val="28"/>
          <w:szCs w:val="28"/>
        </w:rPr>
      </w:pPr>
      <w:r>
        <w:rPr>
          <w:rFonts w:hint="eastAsia" w:ascii="仿宋" w:hAnsi="仿宋" w:eastAsia="仿宋" w:cs="仿宋"/>
          <w:b w:val="0"/>
          <w:bCs/>
          <w:sz w:val="28"/>
          <w:szCs w:val="28"/>
        </w:rPr>
        <w:t xml:space="preserve">② </w:t>
      </w:r>
      <w:r>
        <w:rPr>
          <w:rFonts w:ascii="仿宋" w:hAnsi="仿宋" w:eastAsia="仿宋" w:cs="仿宋"/>
          <w:b w:val="0"/>
          <w:bCs/>
          <w:sz w:val="28"/>
          <w:szCs w:val="28"/>
        </w:rPr>
        <w:t>自主创新</w:t>
      </w:r>
      <w:r>
        <w:rPr>
          <w:rFonts w:hint="eastAsia" w:ascii="仿宋" w:hAnsi="仿宋" w:eastAsia="仿宋" w:cs="仿宋"/>
          <w:b w:val="0"/>
          <w:bCs/>
          <w:sz w:val="28"/>
          <w:szCs w:val="28"/>
        </w:rPr>
        <w:t>。</w:t>
      </w:r>
      <w:r>
        <w:rPr>
          <w:rFonts w:ascii="仿宋" w:hAnsi="仿宋" w:eastAsia="仿宋" w:cs="仿宋"/>
          <w:b w:val="0"/>
          <w:bCs/>
          <w:sz w:val="28"/>
          <w:szCs w:val="28"/>
        </w:rPr>
        <w:t>充分调动师生的积极性和创造性</w:t>
      </w:r>
      <w:r>
        <w:rPr>
          <w:rFonts w:hint="eastAsia" w:ascii="仿宋" w:hAnsi="仿宋" w:eastAsia="仿宋" w:cs="仿宋"/>
          <w:b w:val="0"/>
          <w:bCs/>
          <w:sz w:val="28"/>
          <w:szCs w:val="28"/>
        </w:rPr>
        <w:t>，</w:t>
      </w:r>
      <w:r>
        <w:rPr>
          <w:rFonts w:ascii="仿宋" w:hAnsi="仿宋" w:eastAsia="仿宋" w:cs="仿宋"/>
          <w:b w:val="0"/>
          <w:bCs/>
          <w:sz w:val="28"/>
          <w:szCs w:val="28"/>
        </w:rPr>
        <w:t>鼓励师生在实验室开展原创性研究，培育自主创新能力。</w:t>
      </w:r>
    </w:p>
    <w:p>
      <w:pPr>
        <w:spacing w:line="540" w:lineRule="exact"/>
        <w:ind w:firstLine="560" w:firstLineChars="200"/>
        <w:rPr>
          <w:rFonts w:ascii="仿宋" w:hAnsi="仿宋" w:eastAsia="仿宋" w:cs="仿宋"/>
          <w:b w:val="0"/>
          <w:bCs/>
          <w:sz w:val="28"/>
          <w:szCs w:val="28"/>
        </w:rPr>
      </w:pPr>
      <w:r>
        <w:rPr>
          <w:rFonts w:hint="eastAsia" w:ascii="仿宋" w:hAnsi="仿宋" w:eastAsia="仿宋" w:cs="仿宋"/>
          <w:b w:val="0"/>
          <w:bCs/>
          <w:sz w:val="28"/>
          <w:szCs w:val="28"/>
        </w:rPr>
        <w:t xml:space="preserve">③ </w:t>
      </w:r>
      <w:r>
        <w:rPr>
          <w:rFonts w:ascii="仿宋" w:hAnsi="仿宋" w:eastAsia="仿宋" w:cs="仿宋"/>
          <w:b w:val="0"/>
          <w:bCs/>
          <w:sz w:val="28"/>
          <w:szCs w:val="28"/>
        </w:rPr>
        <w:t>可持续发展</w:t>
      </w:r>
      <w:r>
        <w:rPr>
          <w:rFonts w:hint="eastAsia" w:ascii="仿宋" w:hAnsi="仿宋" w:eastAsia="仿宋" w:cs="仿宋"/>
          <w:b w:val="0"/>
          <w:bCs/>
          <w:sz w:val="28"/>
          <w:szCs w:val="28"/>
        </w:rPr>
        <w:t>。</w:t>
      </w:r>
      <w:r>
        <w:rPr>
          <w:rFonts w:ascii="仿宋" w:hAnsi="仿宋" w:eastAsia="仿宋" w:cs="仿宋"/>
          <w:b w:val="0"/>
          <w:bCs/>
          <w:sz w:val="28"/>
          <w:szCs w:val="28"/>
        </w:rPr>
        <w:t>注重实验室建设的长期效益，确保实验室的可持续发展。</w:t>
      </w:r>
      <w:r>
        <w:rPr>
          <w:rFonts w:hint="eastAsia" w:ascii="仿宋" w:hAnsi="仿宋" w:eastAsia="仿宋" w:cs="仿宋"/>
          <w:b w:val="0"/>
          <w:bCs/>
          <w:sz w:val="28"/>
          <w:szCs w:val="28"/>
        </w:rPr>
        <w:t>充分利用现有资源，整合和优化配置，更高提升实验室的利用效率。</w:t>
      </w:r>
    </w:p>
    <w:p>
      <w:pPr>
        <w:spacing w:line="540" w:lineRule="exact"/>
        <w:ind w:firstLine="560" w:firstLineChars="200"/>
        <w:rPr>
          <w:rFonts w:ascii="仿宋" w:hAnsi="仿宋" w:eastAsia="仿宋" w:cs="仿宋"/>
          <w:bCs/>
          <w:sz w:val="28"/>
          <w:szCs w:val="28"/>
        </w:rPr>
      </w:pPr>
      <w:r>
        <w:rPr>
          <w:rFonts w:hint="eastAsia" w:ascii="仿宋" w:hAnsi="仿宋" w:eastAsia="仿宋" w:cs="仿宋"/>
          <w:b w:val="0"/>
          <w:bCs/>
          <w:sz w:val="28"/>
          <w:szCs w:val="28"/>
        </w:rPr>
        <w:t>④ 拓展场馆。解决因生</w:t>
      </w:r>
      <w:r>
        <w:rPr>
          <w:rFonts w:hint="eastAsia" w:ascii="仿宋" w:hAnsi="仿宋" w:eastAsia="仿宋" w:cs="仿宋"/>
          <w:bCs/>
          <w:sz w:val="28"/>
          <w:szCs w:val="28"/>
        </w:rPr>
        <w:t>均实训面积达标问题。</w:t>
      </w:r>
    </w:p>
    <w:p>
      <w:pPr>
        <w:keepNext/>
        <w:keepLines/>
        <w:spacing w:line="540" w:lineRule="exact"/>
        <w:ind w:firstLine="562" w:firstLineChars="200"/>
        <w:outlineLvl w:val="3"/>
        <w:rPr>
          <w:rFonts w:ascii="Times New Roman" w:hAnsi="Times New Roman" w:eastAsia="仿宋"/>
          <w:b/>
          <w:sz w:val="28"/>
          <w:szCs w:val="28"/>
        </w:rPr>
      </w:pPr>
      <w:r>
        <w:rPr>
          <w:rFonts w:hint="eastAsia" w:ascii="Times New Roman" w:hAnsi="Times New Roman" w:eastAsia="仿宋"/>
          <w:b/>
          <w:sz w:val="28"/>
          <w:szCs w:val="28"/>
        </w:rPr>
        <w:t>（3）建设目标</w:t>
      </w:r>
    </w:p>
    <w:p>
      <w:pPr>
        <w:spacing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构建一流的实验室硬件设施，满足科研和教学的需要，为学生提供优质的实验环境和资源，培养学生的实践能力和创新精神，促进学生全面发展。打造高水平的实验室管理团队，提升实验室运行效率。产出一批高质量的科研成果，为社会提供科技支持和服务，推动科技进步和社会发展，提升学校影响力。拓展实验实训场所，确保生均实训场所面积达到8.8平方米。学校重点仪器设备进入共享平台，引入企业共建、共享实验实训室；利用实验实训室进行社会化服务。</w:t>
      </w:r>
    </w:p>
    <w:p>
      <w:pPr>
        <w:keepNext/>
        <w:keepLines/>
        <w:spacing w:line="540" w:lineRule="exact"/>
        <w:ind w:firstLine="562" w:firstLineChars="200"/>
        <w:outlineLvl w:val="3"/>
        <w:rPr>
          <w:rFonts w:ascii="Times New Roman" w:hAnsi="Times New Roman" w:eastAsia="仿宋"/>
          <w:b/>
          <w:sz w:val="28"/>
          <w:szCs w:val="28"/>
        </w:rPr>
      </w:pPr>
      <w:r>
        <w:rPr>
          <w:rFonts w:hint="eastAsia" w:ascii="Times New Roman" w:hAnsi="Times New Roman" w:eastAsia="仿宋"/>
          <w:b/>
          <w:sz w:val="28"/>
          <w:szCs w:val="28"/>
        </w:rPr>
        <w:t>（4）重点建设任务</w:t>
      </w:r>
    </w:p>
    <w:p>
      <w:pPr>
        <w:tabs>
          <w:tab w:val="left" w:pos="6326"/>
        </w:tabs>
        <w:spacing w:line="540" w:lineRule="exact"/>
        <w:ind w:firstLine="560" w:firstLineChars="200"/>
        <w:rPr>
          <w:rFonts w:ascii="仿宋" w:hAnsi="仿宋" w:eastAsia="仿宋" w:cs="仿宋"/>
          <w:bCs/>
          <w:sz w:val="28"/>
          <w:szCs w:val="28"/>
        </w:rPr>
      </w:pPr>
      <w:r>
        <w:rPr>
          <w:rFonts w:ascii="仿宋" w:hAnsi="仿宋" w:eastAsia="仿宋" w:cs="仿宋"/>
          <w:bCs/>
          <w:sz w:val="28"/>
          <w:szCs w:val="28"/>
        </w:rPr>
        <w:fldChar w:fldCharType="begin"/>
      </w:r>
      <w:r>
        <w:rPr>
          <w:rFonts w:ascii="仿宋" w:hAnsi="仿宋" w:eastAsia="仿宋" w:cs="仿宋"/>
          <w:bCs/>
          <w:sz w:val="28"/>
          <w:szCs w:val="28"/>
        </w:rPr>
        <w:instrText xml:space="preserve"> </w:instrText>
      </w:r>
      <w:r>
        <w:rPr>
          <w:rFonts w:hint="eastAsia" w:ascii="仿宋" w:hAnsi="仿宋" w:eastAsia="仿宋" w:cs="仿宋"/>
          <w:bCs/>
          <w:sz w:val="28"/>
          <w:szCs w:val="28"/>
        </w:rPr>
        <w:instrText xml:space="preserve">= 1 \* GB3</w:instrText>
      </w:r>
      <w:r>
        <w:rPr>
          <w:rFonts w:ascii="仿宋" w:hAnsi="仿宋" w:eastAsia="仿宋" w:cs="仿宋"/>
          <w:bCs/>
          <w:sz w:val="28"/>
          <w:szCs w:val="28"/>
        </w:rPr>
        <w:instrText xml:space="preserve"> </w:instrText>
      </w:r>
      <w:r>
        <w:rPr>
          <w:rFonts w:ascii="仿宋" w:hAnsi="仿宋" w:eastAsia="仿宋" w:cs="仿宋"/>
          <w:bCs/>
          <w:sz w:val="28"/>
          <w:szCs w:val="28"/>
        </w:rPr>
        <w:fldChar w:fldCharType="separate"/>
      </w:r>
      <w:r>
        <w:rPr>
          <w:rFonts w:hint="eastAsia" w:ascii="仿宋" w:hAnsi="仿宋" w:eastAsia="仿宋" w:cs="仿宋"/>
          <w:bCs/>
          <w:sz w:val="28"/>
          <w:szCs w:val="28"/>
        </w:rPr>
        <w:t>①</w:t>
      </w:r>
      <w:r>
        <w:rPr>
          <w:rFonts w:ascii="仿宋" w:hAnsi="仿宋" w:eastAsia="仿宋" w:cs="仿宋"/>
          <w:bCs/>
          <w:sz w:val="28"/>
          <w:szCs w:val="28"/>
        </w:rPr>
        <w:fldChar w:fldCharType="end"/>
      </w:r>
      <w:r>
        <w:rPr>
          <w:rFonts w:hint="eastAsia" w:ascii="仿宋" w:hAnsi="仿宋" w:eastAsia="仿宋" w:cs="仿宋"/>
          <w:bCs/>
          <w:sz w:val="28"/>
          <w:szCs w:val="28"/>
        </w:rPr>
        <w:t xml:space="preserve"> 如期完成三期标准运动场的建设工作</w:t>
      </w:r>
    </w:p>
    <w:p>
      <w:pPr>
        <w:spacing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② 完成生态工程学院园艺植物种植基地的建设工作</w:t>
      </w:r>
    </w:p>
    <w:p>
      <w:pPr>
        <w:spacing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③ 校企合作，共建更多共享实验室。</w:t>
      </w:r>
    </w:p>
    <w:p>
      <w:pPr>
        <w:spacing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引入企业，对现有的部分实训场所进行升级或改造工作，拓展实验实训场所、引入企业真实化场景实训场馆。</w:t>
      </w:r>
    </w:p>
    <w:p>
      <w:pPr>
        <w:spacing w:line="540" w:lineRule="exact"/>
        <w:ind w:firstLine="560" w:firstLineChars="200"/>
        <w:rPr>
          <w:rFonts w:ascii="仿宋" w:hAnsi="仿宋" w:eastAsia="仿宋" w:cs="仿宋"/>
          <w:bCs/>
          <w:sz w:val="28"/>
          <w:szCs w:val="28"/>
        </w:rPr>
      </w:pPr>
      <w:r>
        <w:rPr>
          <w:rFonts w:ascii="仿宋" w:hAnsi="仿宋" w:eastAsia="仿宋" w:cs="仿宋"/>
          <w:bCs/>
          <w:sz w:val="28"/>
          <w:szCs w:val="28"/>
        </w:rPr>
        <w:t>合作共建大学生科技园</w:t>
      </w:r>
      <w:r>
        <w:rPr>
          <w:rFonts w:hint="eastAsia" w:ascii="仿宋" w:hAnsi="仿宋" w:eastAsia="仿宋" w:cs="仿宋"/>
          <w:bCs/>
          <w:sz w:val="28"/>
          <w:szCs w:val="28"/>
        </w:rPr>
        <w:t>；企业提供相应</w:t>
      </w:r>
      <w:r>
        <w:rPr>
          <w:rFonts w:ascii="仿宋" w:hAnsi="仿宋" w:eastAsia="仿宋" w:cs="仿宋"/>
          <w:bCs/>
          <w:sz w:val="28"/>
          <w:szCs w:val="28"/>
        </w:rPr>
        <w:t>设备、技术支持等，促进科技园的建设和发展。</w:t>
      </w:r>
    </w:p>
    <w:p>
      <w:pPr>
        <w:spacing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 xml:space="preserve">④ </w:t>
      </w:r>
      <w:r>
        <w:rPr>
          <w:rFonts w:ascii="仿宋" w:hAnsi="仿宋" w:eastAsia="仿宋" w:cs="仿宋"/>
          <w:bCs/>
          <w:sz w:val="28"/>
          <w:szCs w:val="28"/>
        </w:rPr>
        <w:t>二级学院共建校企合作实训基地</w:t>
      </w:r>
    </w:p>
    <w:p>
      <w:pPr>
        <w:spacing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学校争取各类资金进行实训室的改建或扩建，每个项目争取到企业的支持。</w:t>
      </w:r>
    </w:p>
    <w:p>
      <w:pPr>
        <w:spacing w:line="540" w:lineRule="exact"/>
        <w:ind w:firstLine="560" w:firstLineChars="200"/>
        <w:rPr>
          <w:rFonts w:ascii="仿宋" w:hAnsi="仿宋" w:eastAsia="仿宋" w:cs="仿宋"/>
          <w:bCs/>
          <w:sz w:val="28"/>
          <w:szCs w:val="28"/>
        </w:rPr>
      </w:pPr>
      <w:r>
        <w:rPr>
          <w:rFonts w:ascii="仿宋" w:hAnsi="仿宋" w:eastAsia="仿宋" w:cs="仿宋"/>
          <w:bCs/>
          <w:sz w:val="28"/>
          <w:szCs w:val="28"/>
        </w:rPr>
        <w:t>确定合作企业：与相关企业建立合作关系，共同建设实训基地。</w:t>
      </w:r>
    </w:p>
    <w:p>
      <w:pPr>
        <w:spacing w:line="540" w:lineRule="exact"/>
        <w:ind w:firstLine="560" w:firstLineChars="200"/>
        <w:rPr>
          <w:rFonts w:ascii="仿宋" w:hAnsi="仿宋" w:eastAsia="仿宋" w:cs="仿宋"/>
          <w:bCs/>
          <w:sz w:val="28"/>
          <w:szCs w:val="28"/>
        </w:rPr>
      </w:pPr>
      <w:r>
        <w:rPr>
          <w:rFonts w:ascii="仿宋" w:hAnsi="仿宋" w:eastAsia="仿宋" w:cs="仿宋"/>
          <w:bCs/>
          <w:sz w:val="28"/>
          <w:szCs w:val="28"/>
        </w:rPr>
        <w:t>制定共建方案：与合作企业共同制定实训基地的建设方案，明确各自的责任和义务。</w:t>
      </w:r>
    </w:p>
    <w:p>
      <w:pPr>
        <w:spacing w:line="540" w:lineRule="exact"/>
        <w:ind w:firstLine="560" w:firstLineChars="200"/>
        <w:rPr>
          <w:rFonts w:ascii="仿宋" w:hAnsi="仿宋" w:eastAsia="仿宋" w:cs="仿宋"/>
          <w:bCs/>
          <w:sz w:val="28"/>
          <w:szCs w:val="28"/>
        </w:rPr>
      </w:pPr>
      <w:r>
        <w:rPr>
          <w:rFonts w:ascii="仿宋" w:hAnsi="仿宋" w:eastAsia="仿宋" w:cs="仿宋"/>
          <w:bCs/>
          <w:sz w:val="28"/>
          <w:szCs w:val="28"/>
        </w:rPr>
        <w:t>提供资源支持：学校应提供必要的资源支持，如场地</w:t>
      </w:r>
      <w:r>
        <w:rPr>
          <w:rFonts w:hint="eastAsia" w:ascii="仿宋" w:hAnsi="仿宋" w:eastAsia="仿宋" w:cs="仿宋"/>
          <w:bCs/>
          <w:sz w:val="28"/>
          <w:szCs w:val="28"/>
        </w:rPr>
        <w:t>，企业提供</w:t>
      </w:r>
      <w:r>
        <w:rPr>
          <w:rFonts w:ascii="仿宋" w:hAnsi="仿宋" w:eastAsia="仿宋" w:cs="仿宋"/>
          <w:bCs/>
          <w:sz w:val="28"/>
          <w:szCs w:val="28"/>
        </w:rPr>
        <w:t>设备、技术支持</w:t>
      </w:r>
      <w:r>
        <w:rPr>
          <w:rFonts w:hint="eastAsia" w:ascii="仿宋" w:hAnsi="仿宋" w:eastAsia="仿宋" w:cs="仿宋"/>
          <w:bCs/>
          <w:sz w:val="28"/>
          <w:szCs w:val="28"/>
        </w:rPr>
        <w:t>、学生实习实践工位</w:t>
      </w:r>
      <w:r>
        <w:rPr>
          <w:rFonts w:ascii="仿宋" w:hAnsi="仿宋" w:eastAsia="仿宋" w:cs="仿宋"/>
          <w:bCs/>
          <w:sz w:val="28"/>
          <w:szCs w:val="28"/>
        </w:rPr>
        <w:t>等，促进实训基地的建设和发展。</w:t>
      </w:r>
    </w:p>
    <w:p>
      <w:pPr>
        <w:spacing w:line="540" w:lineRule="exact"/>
        <w:ind w:firstLine="560" w:firstLineChars="200"/>
        <w:rPr>
          <w:rFonts w:ascii="仿宋" w:hAnsi="仿宋" w:eastAsia="仿宋" w:cs="仿宋"/>
          <w:bCs/>
          <w:sz w:val="28"/>
          <w:szCs w:val="28"/>
        </w:rPr>
      </w:pPr>
      <w:r>
        <w:rPr>
          <w:rFonts w:ascii="仿宋" w:hAnsi="仿宋" w:eastAsia="仿宋" w:cs="仿宋"/>
          <w:bCs/>
          <w:sz w:val="28"/>
          <w:szCs w:val="28"/>
        </w:rPr>
        <w:t>加强合作与交流：与企业建立合作关系，加强实训基地之间的交流与合作，提高实践教育质量。</w:t>
      </w:r>
    </w:p>
    <w:p>
      <w:pPr>
        <w:keepNext/>
        <w:keepLines/>
        <w:spacing w:line="540" w:lineRule="exact"/>
        <w:ind w:firstLine="562" w:firstLineChars="200"/>
        <w:outlineLvl w:val="3"/>
        <w:rPr>
          <w:rFonts w:ascii="Times New Roman" w:hAnsi="Times New Roman" w:eastAsia="仿宋"/>
          <w:b/>
          <w:sz w:val="28"/>
          <w:szCs w:val="28"/>
        </w:rPr>
      </w:pPr>
      <w:r>
        <w:rPr>
          <w:rFonts w:hint="eastAsia" w:ascii="Times New Roman" w:hAnsi="Times New Roman" w:eastAsia="仿宋"/>
          <w:b/>
          <w:sz w:val="28"/>
          <w:szCs w:val="28"/>
        </w:rPr>
        <w:t>（5）建设计划</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1"/>
        <w:gridCol w:w="2036"/>
        <w:gridCol w:w="3564"/>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171" w:type="dxa"/>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年度</w:t>
            </w:r>
          </w:p>
        </w:tc>
        <w:tc>
          <w:tcPr>
            <w:tcW w:w="2036" w:type="dxa"/>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建设任务</w:t>
            </w:r>
          </w:p>
        </w:tc>
        <w:tc>
          <w:tcPr>
            <w:tcW w:w="3564" w:type="dxa"/>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建设内容</w:t>
            </w:r>
          </w:p>
        </w:tc>
        <w:tc>
          <w:tcPr>
            <w:tcW w:w="1559" w:type="dxa"/>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负责部门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1" w:type="dxa"/>
            <w:vMerge w:val="restart"/>
            <w:vAlign w:val="center"/>
          </w:tcPr>
          <w:p>
            <w:pPr>
              <w:jc w:val="center"/>
              <w:rPr>
                <w:rFonts w:ascii="仿宋" w:hAnsi="仿宋" w:eastAsia="仿宋" w:cs="仿宋"/>
                <w:b/>
                <w:szCs w:val="21"/>
              </w:rPr>
            </w:pPr>
            <w:r>
              <w:rPr>
                <w:rFonts w:hint="eastAsia" w:ascii="仿宋" w:hAnsi="仿宋" w:eastAsia="仿宋" w:cs="仿宋"/>
                <w:b/>
                <w:szCs w:val="21"/>
              </w:rPr>
              <w:t>2023</w:t>
            </w:r>
          </w:p>
        </w:tc>
        <w:tc>
          <w:tcPr>
            <w:tcW w:w="2036" w:type="dxa"/>
            <w:vAlign w:val="center"/>
          </w:tcPr>
          <w:p>
            <w:pPr>
              <w:jc w:val="left"/>
              <w:rPr>
                <w:rFonts w:ascii="仿宋" w:hAnsi="仿宋" w:eastAsia="仿宋" w:cs="仿宋"/>
                <w:bCs/>
                <w:szCs w:val="21"/>
                <w:highlight w:val="yellow"/>
              </w:rPr>
            </w:pPr>
            <w:r>
              <w:rPr>
                <w:rFonts w:hint="eastAsia" w:ascii="仿宋" w:hAnsi="仿宋" w:eastAsia="仿宋" w:cs="仿宋"/>
                <w:bCs/>
                <w:szCs w:val="21"/>
              </w:rPr>
              <w:t>提升现代农业教学与实训条件项目</w:t>
            </w:r>
          </w:p>
        </w:tc>
        <w:tc>
          <w:tcPr>
            <w:tcW w:w="3564" w:type="dxa"/>
            <w:vAlign w:val="center"/>
          </w:tcPr>
          <w:p>
            <w:pPr>
              <w:jc w:val="left"/>
              <w:rPr>
                <w:rFonts w:ascii="仿宋" w:hAnsi="仿宋" w:eastAsia="仿宋" w:cs="仿宋"/>
                <w:bCs/>
                <w:szCs w:val="21"/>
                <w:highlight w:val="yellow"/>
              </w:rPr>
            </w:pPr>
            <w:r>
              <w:rPr>
                <w:rFonts w:hint="eastAsia" w:ascii="仿宋" w:hAnsi="仿宋" w:eastAsia="仿宋" w:cs="仿宋"/>
                <w:bCs/>
                <w:szCs w:val="21"/>
              </w:rPr>
              <w:t>改造动物医院；改造智慧园艺大棚；建设园林工程施工实训；建设专业计算机绘图室；建设专业制图室；提升改造现代农业教学场所环境设施项目，改善教学场所的环境条件</w:t>
            </w:r>
          </w:p>
        </w:tc>
        <w:tc>
          <w:tcPr>
            <w:tcW w:w="1559" w:type="dxa"/>
            <w:vAlign w:val="center"/>
          </w:tcPr>
          <w:p>
            <w:pPr>
              <w:jc w:val="left"/>
              <w:rPr>
                <w:rFonts w:ascii="仿宋" w:hAnsi="仿宋" w:eastAsia="仿宋" w:cs="仿宋"/>
                <w:bCs/>
                <w:szCs w:val="21"/>
                <w:highlight w:val="yellow"/>
              </w:rPr>
            </w:pPr>
            <w:r>
              <w:rPr>
                <w:rFonts w:hint="eastAsia" w:ascii="仿宋" w:hAnsi="仿宋" w:eastAsia="仿宋" w:cs="仿宋"/>
                <w:bCs/>
                <w:szCs w:val="21"/>
              </w:rPr>
              <w:t>实验室管理中心及生态工程学院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1" w:type="dxa"/>
            <w:vMerge w:val="continue"/>
            <w:vAlign w:val="center"/>
          </w:tcPr>
          <w:p>
            <w:pPr>
              <w:jc w:val="center"/>
              <w:rPr>
                <w:rFonts w:ascii="仿宋" w:hAnsi="仿宋" w:eastAsia="仿宋" w:cs="仿宋"/>
                <w:b/>
                <w:szCs w:val="21"/>
              </w:rPr>
            </w:pPr>
          </w:p>
        </w:tc>
        <w:tc>
          <w:tcPr>
            <w:tcW w:w="2036" w:type="dxa"/>
            <w:vAlign w:val="center"/>
          </w:tcPr>
          <w:p>
            <w:pPr>
              <w:jc w:val="left"/>
              <w:rPr>
                <w:rFonts w:ascii="仿宋" w:hAnsi="仿宋" w:eastAsia="仿宋" w:cs="仿宋"/>
                <w:bCs/>
                <w:szCs w:val="21"/>
                <w:highlight w:val="yellow"/>
              </w:rPr>
            </w:pPr>
            <w:r>
              <w:rPr>
                <w:rFonts w:hint="eastAsia" w:ascii="仿宋" w:hAnsi="仿宋" w:eastAsia="仿宋" w:cs="仿宋"/>
                <w:bCs/>
                <w:szCs w:val="21"/>
              </w:rPr>
              <w:t>大数据技术实训中心</w:t>
            </w:r>
          </w:p>
        </w:tc>
        <w:tc>
          <w:tcPr>
            <w:tcW w:w="3564" w:type="dxa"/>
            <w:vAlign w:val="center"/>
          </w:tcPr>
          <w:p>
            <w:pPr>
              <w:jc w:val="left"/>
              <w:rPr>
                <w:rFonts w:ascii="仿宋" w:hAnsi="仿宋" w:eastAsia="仿宋" w:cs="仿宋"/>
                <w:bCs/>
                <w:szCs w:val="21"/>
                <w:highlight w:val="yellow"/>
              </w:rPr>
            </w:pPr>
            <w:r>
              <w:rPr>
                <w:rFonts w:hint="eastAsia" w:ascii="仿宋" w:hAnsi="仿宋" w:eastAsia="仿宋" w:cs="仿宋"/>
                <w:bCs/>
                <w:szCs w:val="21"/>
              </w:rPr>
              <w:t>完成信息工程学院大数据技术实训中心建设</w:t>
            </w:r>
          </w:p>
        </w:tc>
        <w:tc>
          <w:tcPr>
            <w:tcW w:w="1559" w:type="dxa"/>
            <w:vAlign w:val="center"/>
          </w:tcPr>
          <w:p>
            <w:pPr>
              <w:jc w:val="left"/>
              <w:rPr>
                <w:rFonts w:ascii="仿宋" w:hAnsi="仿宋" w:eastAsia="仿宋" w:cs="仿宋"/>
                <w:bCs/>
                <w:szCs w:val="21"/>
                <w:highlight w:val="yellow"/>
              </w:rPr>
            </w:pPr>
            <w:r>
              <w:rPr>
                <w:rFonts w:hint="eastAsia" w:ascii="仿宋" w:hAnsi="仿宋" w:eastAsia="仿宋" w:cs="仿宋"/>
                <w:bCs/>
                <w:szCs w:val="21"/>
              </w:rPr>
              <w:t>实验室管理中心及信息工程学院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1" w:type="dxa"/>
            <w:vMerge w:val="restart"/>
            <w:vAlign w:val="center"/>
          </w:tcPr>
          <w:p>
            <w:pPr>
              <w:jc w:val="center"/>
              <w:rPr>
                <w:rFonts w:ascii="仿宋" w:hAnsi="仿宋" w:eastAsia="仿宋" w:cs="仿宋"/>
                <w:b/>
                <w:szCs w:val="21"/>
              </w:rPr>
            </w:pPr>
            <w:r>
              <w:rPr>
                <w:rFonts w:hint="eastAsia" w:ascii="仿宋" w:hAnsi="仿宋" w:eastAsia="仿宋" w:cs="仿宋"/>
                <w:b/>
                <w:szCs w:val="21"/>
              </w:rPr>
              <w:t>2024</w:t>
            </w:r>
          </w:p>
        </w:tc>
        <w:tc>
          <w:tcPr>
            <w:tcW w:w="2036" w:type="dxa"/>
            <w:vAlign w:val="center"/>
          </w:tcPr>
          <w:p>
            <w:pPr>
              <w:jc w:val="left"/>
              <w:rPr>
                <w:rFonts w:ascii="仿宋" w:hAnsi="仿宋" w:eastAsia="仿宋" w:cs="仿宋"/>
                <w:bCs/>
                <w:szCs w:val="21"/>
                <w:highlight w:val="yellow"/>
              </w:rPr>
            </w:pPr>
            <w:r>
              <w:rPr>
                <w:rFonts w:hint="eastAsia" w:ascii="仿宋" w:hAnsi="仿宋" w:eastAsia="仿宋" w:cs="仿宋"/>
                <w:bCs/>
                <w:szCs w:val="21"/>
              </w:rPr>
              <w:t>三期标准运动场的建设工作</w:t>
            </w:r>
          </w:p>
        </w:tc>
        <w:tc>
          <w:tcPr>
            <w:tcW w:w="3564" w:type="dxa"/>
            <w:vAlign w:val="center"/>
          </w:tcPr>
          <w:p>
            <w:pPr>
              <w:jc w:val="left"/>
              <w:rPr>
                <w:rFonts w:ascii="仿宋" w:hAnsi="仿宋" w:eastAsia="仿宋" w:cs="仿宋"/>
                <w:bCs/>
                <w:szCs w:val="21"/>
                <w:highlight w:val="yellow"/>
              </w:rPr>
            </w:pPr>
            <w:r>
              <w:rPr>
                <w:rFonts w:hint="eastAsia" w:ascii="仿宋" w:hAnsi="仿宋" w:eastAsia="仿宋" w:cs="仿宋"/>
                <w:bCs/>
                <w:szCs w:val="21"/>
              </w:rPr>
              <w:t>完成运动场所建设，可提供14000㎡实训场地面积</w:t>
            </w:r>
          </w:p>
        </w:tc>
        <w:tc>
          <w:tcPr>
            <w:tcW w:w="1559" w:type="dxa"/>
            <w:vAlign w:val="center"/>
          </w:tcPr>
          <w:p>
            <w:pPr>
              <w:jc w:val="left"/>
              <w:rPr>
                <w:rFonts w:ascii="仿宋" w:hAnsi="仿宋" w:eastAsia="仿宋" w:cs="仿宋"/>
                <w:bCs/>
                <w:szCs w:val="21"/>
              </w:rPr>
            </w:pPr>
            <w:r>
              <w:rPr>
                <w:rFonts w:hint="eastAsia" w:ascii="仿宋" w:hAnsi="仿宋" w:eastAsia="仿宋" w:cs="仿宋"/>
                <w:bCs/>
                <w:szCs w:val="21"/>
              </w:rPr>
              <w:t>基建办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1" w:type="dxa"/>
            <w:vMerge w:val="continue"/>
            <w:vAlign w:val="center"/>
          </w:tcPr>
          <w:p>
            <w:pPr>
              <w:jc w:val="center"/>
              <w:rPr>
                <w:rFonts w:ascii="仿宋" w:hAnsi="仿宋" w:eastAsia="仿宋" w:cs="仿宋"/>
                <w:b/>
                <w:szCs w:val="21"/>
              </w:rPr>
            </w:pPr>
          </w:p>
        </w:tc>
        <w:tc>
          <w:tcPr>
            <w:tcW w:w="2036" w:type="dxa"/>
            <w:vAlign w:val="center"/>
          </w:tcPr>
          <w:p>
            <w:pPr>
              <w:jc w:val="left"/>
              <w:rPr>
                <w:rFonts w:ascii="仿宋" w:hAnsi="仿宋" w:eastAsia="仿宋" w:cs="仿宋"/>
                <w:bCs/>
                <w:szCs w:val="21"/>
                <w:highlight w:val="yellow"/>
              </w:rPr>
            </w:pPr>
            <w:r>
              <w:rPr>
                <w:rFonts w:hint="eastAsia" w:ascii="仿宋" w:hAnsi="仿宋" w:eastAsia="仿宋" w:cs="仿宋"/>
                <w:bCs/>
                <w:szCs w:val="21"/>
              </w:rPr>
              <w:t>校企合作，共建共享实验室</w:t>
            </w:r>
          </w:p>
        </w:tc>
        <w:tc>
          <w:tcPr>
            <w:tcW w:w="3564" w:type="dxa"/>
            <w:vAlign w:val="center"/>
          </w:tcPr>
          <w:p>
            <w:pPr>
              <w:jc w:val="left"/>
              <w:rPr>
                <w:rFonts w:ascii="仿宋" w:hAnsi="仿宋" w:eastAsia="仿宋" w:cs="仿宋"/>
                <w:bCs/>
                <w:szCs w:val="21"/>
                <w:highlight w:val="yellow"/>
              </w:rPr>
            </w:pPr>
            <w:r>
              <w:rPr>
                <w:rFonts w:hint="eastAsia" w:ascii="仿宋" w:hAnsi="仿宋" w:eastAsia="仿宋" w:cs="仿宋"/>
                <w:bCs/>
                <w:szCs w:val="21"/>
              </w:rPr>
              <w:t>完成B车间的汽车零部件拆装实训室的建设，引进企业，企业投资建设。</w:t>
            </w:r>
          </w:p>
        </w:tc>
        <w:tc>
          <w:tcPr>
            <w:tcW w:w="1559" w:type="dxa"/>
            <w:vAlign w:val="center"/>
          </w:tcPr>
          <w:p>
            <w:pPr>
              <w:jc w:val="left"/>
              <w:rPr>
                <w:rFonts w:ascii="仿宋" w:hAnsi="仿宋" w:eastAsia="仿宋" w:cs="仿宋"/>
                <w:bCs/>
                <w:szCs w:val="21"/>
              </w:rPr>
            </w:pPr>
            <w:r>
              <w:rPr>
                <w:rFonts w:hint="eastAsia" w:ascii="仿宋" w:hAnsi="仿宋" w:eastAsia="仿宋" w:cs="仿宋"/>
                <w:bCs/>
                <w:szCs w:val="21"/>
              </w:rPr>
              <w:t>实验室管理中心及机电工程学院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1" w:type="dxa"/>
            <w:vMerge w:val="continue"/>
            <w:vAlign w:val="center"/>
          </w:tcPr>
          <w:p>
            <w:pPr>
              <w:jc w:val="center"/>
              <w:rPr>
                <w:rFonts w:ascii="仿宋" w:hAnsi="仿宋" w:eastAsia="仿宋" w:cs="仿宋"/>
                <w:b/>
                <w:szCs w:val="21"/>
              </w:rPr>
            </w:pPr>
          </w:p>
        </w:tc>
        <w:tc>
          <w:tcPr>
            <w:tcW w:w="2036" w:type="dxa"/>
            <w:vAlign w:val="center"/>
          </w:tcPr>
          <w:p>
            <w:pPr>
              <w:jc w:val="left"/>
              <w:rPr>
                <w:rFonts w:ascii="仿宋" w:hAnsi="仿宋" w:eastAsia="仿宋" w:cs="仿宋"/>
                <w:bCs/>
                <w:szCs w:val="21"/>
                <w:highlight w:val="yellow"/>
              </w:rPr>
            </w:pPr>
            <w:r>
              <w:rPr>
                <w:rFonts w:hint="eastAsia" w:ascii="仿宋" w:hAnsi="仿宋" w:eastAsia="仿宋" w:cs="仿宋"/>
                <w:bCs/>
                <w:szCs w:val="21"/>
              </w:rPr>
              <w:t>园艺植物种植基地的建设工作</w:t>
            </w:r>
          </w:p>
        </w:tc>
        <w:tc>
          <w:tcPr>
            <w:tcW w:w="3564" w:type="dxa"/>
            <w:vAlign w:val="center"/>
          </w:tcPr>
          <w:p>
            <w:pPr>
              <w:jc w:val="left"/>
              <w:rPr>
                <w:rFonts w:ascii="仿宋" w:hAnsi="仿宋" w:eastAsia="仿宋" w:cs="仿宋"/>
                <w:bCs/>
                <w:szCs w:val="21"/>
                <w:highlight w:val="yellow"/>
              </w:rPr>
            </w:pPr>
            <w:r>
              <w:rPr>
                <w:rFonts w:hint="eastAsia" w:ascii="仿宋" w:hAnsi="仿宋" w:eastAsia="仿宋" w:cs="仿宋"/>
                <w:bCs/>
                <w:szCs w:val="21"/>
              </w:rPr>
              <w:t>完成至少10000㎡的实训基地建设</w:t>
            </w:r>
          </w:p>
        </w:tc>
        <w:tc>
          <w:tcPr>
            <w:tcW w:w="1559" w:type="dxa"/>
            <w:vAlign w:val="center"/>
          </w:tcPr>
          <w:p>
            <w:pPr>
              <w:jc w:val="left"/>
              <w:rPr>
                <w:rFonts w:ascii="仿宋" w:hAnsi="仿宋" w:eastAsia="仿宋" w:cs="仿宋"/>
                <w:bCs/>
                <w:szCs w:val="21"/>
                <w:highlight w:val="yellow"/>
              </w:rPr>
            </w:pPr>
            <w:r>
              <w:rPr>
                <w:rFonts w:hint="eastAsia" w:ascii="仿宋" w:hAnsi="仿宋" w:eastAsia="仿宋" w:cs="仿宋"/>
                <w:bCs/>
                <w:szCs w:val="21"/>
              </w:rPr>
              <w:t>实验室管理中心及生态工程学院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1" w:type="dxa"/>
            <w:vMerge w:val="continue"/>
            <w:vAlign w:val="center"/>
          </w:tcPr>
          <w:p>
            <w:pPr>
              <w:jc w:val="center"/>
              <w:rPr>
                <w:rFonts w:ascii="仿宋" w:hAnsi="仿宋" w:eastAsia="仿宋" w:cs="仿宋"/>
                <w:b/>
                <w:szCs w:val="21"/>
              </w:rPr>
            </w:pPr>
          </w:p>
        </w:tc>
        <w:tc>
          <w:tcPr>
            <w:tcW w:w="2036" w:type="dxa"/>
            <w:vAlign w:val="center"/>
          </w:tcPr>
          <w:p>
            <w:pPr>
              <w:jc w:val="center"/>
              <w:rPr>
                <w:rFonts w:ascii="仿宋" w:hAnsi="仿宋" w:eastAsia="仿宋" w:cs="仿宋"/>
                <w:bCs/>
                <w:szCs w:val="21"/>
              </w:rPr>
            </w:pPr>
            <w:r>
              <w:rPr>
                <w:rFonts w:hint="eastAsia" w:ascii="仿宋" w:hAnsi="仿宋" w:eastAsia="仿宋" w:cs="仿宋"/>
                <w:bCs/>
                <w:szCs w:val="21"/>
              </w:rPr>
              <w:t>仪器设备共享</w:t>
            </w:r>
          </w:p>
        </w:tc>
        <w:tc>
          <w:tcPr>
            <w:tcW w:w="3564" w:type="dxa"/>
            <w:vAlign w:val="center"/>
          </w:tcPr>
          <w:p>
            <w:pPr>
              <w:jc w:val="left"/>
              <w:rPr>
                <w:rFonts w:ascii="仿宋" w:hAnsi="仿宋" w:eastAsia="仿宋" w:cs="仿宋"/>
                <w:bCs/>
                <w:szCs w:val="21"/>
              </w:rPr>
            </w:pPr>
            <w:r>
              <w:rPr>
                <w:rFonts w:hint="eastAsia" w:ascii="仿宋" w:hAnsi="仿宋" w:eastAsia="仿宋" w:cs="仿宋"/>
                <w:bCs/>
                <w:szCs w:val="21"/>
              </w:rPr>
              <w:t>跨学院共享、社会共享，提高实验实训室利用率</w:t>
            </w:r>
          </w:p>
        </w:tc>
        <w:tc>
          <w:tcPr>
            <w:tcW w:w="1559" w:type="dxa"/>
            <w:vAlign w:val="center"/>
          </w:tcPr>
          <w:p>
            <w:pPr>
              <w:jc w:val="left"/>
              <w:rPr>
                <w:rFonts w:ascii="仿宋" w:hAnsi="仿宋" w:eastAsia="仿宋" w:cs="仿宋"/>
                <w:bCs/>
                <w:szCs w:val="21"/>
              </w:rPr>
            </w:pPr>
            <w:r>
              <w:rPr>
                <w:rFonts w:hint="eastAsia" w:ascii="仿宋" w:hAnsi="仿宋" w:eastAsia="仿宋" w:cs="仿宋"/>
                <w:bCs/>
                <w:szCs w:val="21"/>
              </w:rPr>
              <w:t>实验室管理中心及二级学院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1" w:type="dxa"/>
            <w:vAlign w:val="center"/>
          </w:tcPr>
          <w:p>
            <w:pPr>
              <w:jc w:val="center"/>
              <w:rPr>
                <w:rFonts w:ascii="仿宋" w:hAnsi="仿宋" w:eastAsia="仿宋" w:cs="仿宋"/>
                <w:b/>
                <w:szCs w:val="21"/>
              </w:rPr>
            </w:pPr>
            <w:r>
              <w:rPr>
                <w:rFonts w:hint="eastAsia" w:ascii="仿宋" w:hAnsi="仿宋" w:eastAsia="仿宋" w:cs="仿宋"/>
                <w:b/>
                <w:szCs w:val="21"/>
              </w:rPr>
              <w:t>2025</w:t>
            </w:r>
          </w:p>
        </w:tc>
        <w:tc>
          <w:tcPr>
            <w:tcW w:w="2036" w:type="dxa"/>
            <w:vAlign w:val="center"/>
          </w:tcPr>
          <w:p>
            <w:pPr>
              <w:jc w:val="left"/>
              <w:rPr>
                <w:rFonts w:ascii="仿宋" w:hAnsi="仿宋" w:eastAsia="仿宋" w:cs="仿宋"/>
                <w:bCs/>
                <w:szCs w:val="21"/>
                <w:highlight w:val="yellow"/>
              </w:rPr>
            </w:pPr>
            <w:r>
              <w:rPr>
                <w:rFonts w:ascii="仿宋" w:hAnsi="仿宋" w:eastAsia="仿宋" w:cs="仿宋"/>
                <w:bCs/>
                <w:szCs w:val="21"/>
              </w:rPr>
              <w:t>二级学院共建校企合作实训基地</w:t>
            </w:r>
          </w:p>
        </w:tc>
        <w:tc>
          <w:tcPr>
            <w:tcW w:w="3564" w:type="dxa"/>
            <w:vAlign w:val="center"/>
          </w:tcPr>
          <w:p>
            <w:pPr>
              <w:jc w:val="left"/>
              <w:rPr>
                <w:rFonts w:ascii="仿宋" w:hAnsi="仿宋" w:eastAsia="仿宋" w:cs="仿宋"/>
                <w:bCs/>
                <w:szCs w:val="21"/>
                <w:highlight w:val="yellow"/>
              </w:rPr>
            </w:pPr>
            <w:r>
              <w:rPr>
                <w:rFonts w:hint="eastAsia" w:ascii="仿宋" w:hAnsi="仿宋" w:eastAsia="仿宋" w:cs="仿宋"/>
                <w:bCs/>
                <w:szCs w:val="21"/>
              </w:rPr>
              <w:t>学院争取各类资金进行实训室的改建或扩建，每个项目争取到企业的支持。</w:t>
            </w:r>
            <w:r>
              <w:rPr>
                <w:rFonts w:ascii="仿宋" w:hAnsi="仿宋" w:eastAsia="仿宋" w:cs="仿宋"/>
                <w:bCs/>
                <w:szCs w:val="21"/>
              </w:rPr>
              <w:t>与相关企业建立合作关系，共同建设实训基地。</w:t>
            </w:r>
          </w:p>
        </w:tc>
        <w:tc>
          <w:tcPr>
            <w:tcW w:w="1559" w:type="dxa"/>
            <w:vAlign w:val="center"/>
          </w:tcPr>
          <w:p>
            <w:pPr>
              <w:jc w:val="left"/>
              <w:rPr>
                <w:rFonts w:ascii="仿宋" w:hAnsi="仿宋" w:eastAsia="仿宋" w:cs="仿宋"/>
                <w:bCs/>
                <w:szCs w:val="21"/>
                <w:highlight w:val="yellow"/>
              </w:rPr>
            </w:pPr>
            <w:r>
              <w:rPr>
                <w:rFonts w:hint="eastAsia" w:ascii="仿宋" w:hAnsi="仿宋" w:eastAsia="仿宋" w:cs="仿宋"/>
                <w:bCs/>
                <w:szCs w:val="21"/>
              </w:rPr>
              <w:t>实验室管理中心及二级学院</w:t>
            </w:r>
          </w:p>
        </w:tc>
      </w:tr>
    </w:tbl>
    <w:p>
      <w:pPr>
        <w:keepNext/>
        <w:keepLines/>
        <w:spacing w:line="540" w:lineRule="exact"/>
        <w:ind w:firstLine="562" w:firstLineChars="200"/>
        <w:outlineLvl w:val="3"/>
        <w:rPr>
          <w:rFonts w:ascii="Times New Roman" w:hAnsi="Times New Roman" w:eastAsia="仿宋"/>
          <w:b/>
          <w:sz w:val="28"/>
          <w:szCs w:val="28"/>
        </w:rPr>
      </w:pPr>
      <w:r>
        <w:rPr>
          <w:rFonts w:hint="eastAsia" w:ascii="Times New Roman" w:hAnsi="Times New Roman" w:eastAsia="仿宋"/>
          <w:b/>
          <w:sz w:val="28"/>
          <w:szCs w:val="28"/>
        </w:rPr>
        <w:t>（6）预期成效及资金测算</w:t>
      </w:r>
    </w:p>
    <w:tbl>
      <w:tblPr>
        <w:tblStyle w:val="16"/>
        <w:tblW w:w="0" w:type="auto"/>
        <w:jc w:val="center"/>
        <w:tblLayout w:type="autofit"/>
        <w:tblCellMar>
          <w:top w:w="15" w:type="dxa"/>
          <w:left w:w="15" w:type="dxa"/>
          <w:bottom w:w="15" w:type="dxa"/>
          <w:right w:w="15" w:type="dxa"/>
        </w:tblCellMar>
      </w:tblPr>
      <w:tblGrid>
        <w:gridCol w:w="1174"/>
        <w:gridCol w:w="2036"/>
        <w:gridCol w:w="3524"/>
        <w:gridCol w:w="534"/>
        <w:gridCol w:w="534"/>
        <w:gridCol w:w="534"/>
      </w:tblGrid>
      <w:tr>
        <w:tblPrEx>
          <w:tblCellMar>
            <w:top w:w="15" w:type="dxa"/>
            <w:left w:w="15" w:type="dxa"/>
            <w:bottom w:w="15" w:type="dxa"/>
            <w:right w:w="15" w:type="dxa"/>
          </w:tblCellMar>
        </w:tblPrEx>
        <w:trPr>
          <w:trHeight w:val="301" w:hRule="atLeast"/>
          <w:jc w:val="center"/>
        </w:trPr>
        <w:tc>
          <w:tcPr>
            <w:tcW w:w="1174" w:type="dxa"/>
            <w:vMerge w:val="restart"/>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项目名称</w:t>
            </w:r>
          </w:p>
        </w:tc>
        <w:tc>
          <w:tcPr>
            <w:tcW w:w="2036" w:type="dxa"/>
            <w:vMerge w:val="restart"/>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主要建设内容</w:t>
            </w:r>
          </w:p>
        </w:tc>
        <w:tc>
          <w:tcPr>
            <w:tcW w:w="3524" w:type="dxa"/>
            <w:vMerge w:val="restart"/>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预期建设成效</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建设资金安排表（万元）</w:t>
            </w:r>
          </w:p>
        </w:tc>
      </w:tr>
      <w:tr>
        <w:tblPrEx>
          <w:tblCellMar>
            <w:top w:w="15" w:type="dxa"/>
            <w:left w:w="15" w:type="dxa"/>
            <w:bottom w:w="15" w:type="dxa"/>
            <w:right w:w="15" w:type="dxa"/>
          </w:tblCellMar>
        </w:tblPrEx>
        <w:trPr>
          <w:trHeight w:val="286" w:hRule="atLeast"/>
          <w:jc w:val="center"/>
        </w:trPr>
        <w:tc>
          <w:tcPr>
            <w:tcW w:w="1174" w:type="dxa"/>
            <w:vMerge w:val="continue"/>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jc w:val="center"/>
              <w:rPr>
                <w:rFonts w:ascii="仿宋" w:hAnsi="仿宋" w:eastAsia="仿宋" w:cs="仿宋"/>
                <w:b/>
                <w:bCs/>
                <w:color w:val="000000"/>
                <w:szCs w:val="21"/>
              </w:rPr>
            </w:pPr>
          </w:p>
        </w:tc>
        <w:tc>
          <w:tcPr>
            <w:tcW w:w="2036" w:type="dxa"/>
            <w:vMerge w:val="continue"/>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jc w:val="center"/>
              <w:rPr>
                <w:rFonts w:ascii="仿宋" w:hAnsi="仿宋" w:eastAsia="仿宋" w:cs="仿宋"/>
                <w:b/>
                <w:bCs/>
                <w:color w:val="000000"/>
                <w:szCs w:val="21"/>
              </w:rPr>
            </w:pPr>
          </w:p>
        </w:tc>
        <w:tc>
          <w:tcPr>
            <w:tcW w:w="3524" w:type="dxa"/>
            <w:vMerge w:val="continue"/>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jc w:val="center"/>
              <w:rPr>
                <w:rFonts w:ascii="仿宋" w:hAnsi="仿宋" w:eastAsia="仿宋" w:cs="仿宋"/>
                <w:b/>
                <w:bCs/>
                <w:color w:val="000000"/>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kern w:val="0"/>
                <w:szCs w:val="21"/>
                <w:lang w:bidi="ar"/>
              </w:rPr>
            </w:pPr>
            <w:r>
              <w:rPr>
                <w:rFonts w:hint="eastAsia" w:ascii="仿宋" w:hAnsi="仿宋" w:eastAsia="仿宋" w:cs="仿宋"/>
                <w:b/>
                <w:bCs/>
                <w:color w:val="000000"/>
                <w:kern w:val="0"/>
                <w:szCs w:val="21"/>
                <w:lang w:bidi="ar"/>
              </w:rPr>
              <w:t>2023年</w:t>
            </w:r>
          </w:p>
        </w:tc>
        <w:tc>
          <w:tcPr>
            <w:tcW w:w="0" w:type="auto"/>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2024年</w:t>
            </w:r>
          </w:p>
        </w:tc>
        <w:tc>
          <w:tcPr>
            <w:tcW w:w="0" w:type="auto"/>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2025年</w:t>
            </w:r>
          </w:p>
        </w:tc>
      </w:tr>
      <w:tr>
        <w:tblPrEx>
          <w:tblCellMar>
            <w:top w:w="15" w:type="dxa"/>
            <w:left w:w="15" w:type="dxa"/>
            <w:bottom w:w="15" w:type="dxa"/>
            <w:right w:w="15" w:type="dxa"/>
          </w:tblCellMar>
        </w:tblPrEx>
        <w:trPr>
          <w:trHeight w:val="450" w:hRule="atLeast"/>
          <w:jc w:val="center"/>
        </w:trPr>
        <w:tc>
          <w:tcPr>
            <w:tcW w:w="1174"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Cs w:val="21"/>
              </w:rPr>
            </w:pPr>
            <w:r>
              <w:rPr>
                <w:rFonts w:hint="eastAsia" w:ascii="仿宋" w:hAnsi="仿宋" w:eastAsia="仿宋" w:cs="仿宋"/>
                <w:b/>
                <w:bCs/>
                <w:color w:val="000000"/>
                <w:szCs w:val="21"/>
              </w:rPr>
              <w:t>实训场所提升工程</w:t>
            </w:r>
          </w:p>
        </w:tc>
        <w:tc>
          <w:tcPr>
            <w:tcW w:w="2036" w:type="dxa"/>
            <w:tcBorders>
              <w:top w:val="single" w:color="000000" w:sz="4" w:space="0"/>
              <w:left w:val="single" w:color="000000" w:sz="4" w:space="0"/>
              <w:bottom w:val="single" w:color="000000" w:sz="4" w:space="0"/>
              <w:right w:val="single" w:color="000000" w:sz="4" w:space="0"/>
            </w:tcBorders>
            <w:vAlign w:val="center"/>
          </w:tcPr>
          <w:p>
            <w:pPr>
              <w:jc w:val="left"/>
              <w:rPr>
                <w:rFonts w:ascii="仿宋" w:hAnsi="仿宋" w:eastAsia="仿宋" w:cs="仿宋"/>
                <w:color w:val="000000"/>
                <w:szCs w:val="21"/>
              </w:rPr>
            </w:pPr>
            <w:r>
              <w:rPr>
                <w:rFonts w:hint="eastAsia" w:ascii="仿宋" w:hAnsi="仿宋" w:eastAsia="仿宋" w:cs="仿宋"/>
                <w:color w:val="000000"/>
                <w:szCs w:val="21"/>
              </w:rPr>
              <w:t>争取资金，完成学校三期标准运动场的建设工作，新建园艺植物种植基地，校企合作共建大学生科技园。</w:t>
            </w:r>
          </w:p>
        </w:tc>
        <w:tc>
          <w:tcPr>
            <w:tcW w:w="3524" w:type="dxa"/>
            <w:tcBorders>
              <w:top w:val="single" w:color="000000" w:sz="4" w:space="0"/>
              <w:left w:val="single" w:color="000000" w:sz="4" w:space="0"/>
              <w:bottom w:val="single" w:color="000000" w:sz="4" w:space="0"/>
              <w:right w:val="single" w:color="000000" w:sz="4" w:space="0"/>
            </w:tcBorders>
            <w:vAlign w:val="center"/>
          </w:tcPr>
          <w:p>
            <w:pPr>
              <w:jc w:val="left"/>
              <w:rPr>
                <w:rFonts w:ascii="仿宋" w:hAnsi="仿宋" w:eastAsia="仿宋" w:cs="仿宋"/>
                <w:color w:val="000000"/>
                <w:szCs w:val="21"/>
              </w:rPr>
            </w:pPr>
            <w:r>
              <w:rPr>
                <w:rFonts w:hint="eastAsia" w:ascii="仿宋" w:hAnsi="仿宋" w:eastAsia="仿宋" w:cs="仿宋"/>
                <w:color w:val="000000"/>
                <w:szCs w:val="21"/>
              </w:rPr>
              <w:t>通过新一轮实训场所建设，标准运动场可提供14000㎡的实训面积，园艺植物种植基地可提供10000㎡的实训面积，与企业合作，共建实训基地，通过产教融合校企合作建设，企业可提供设备、技术支持、学生实习实践工位等。新建实训场所，</w:t>
            </w:r>
            <w:r>
              <w:rPr>
                <w:rFonts w:hint="eastAsia" w:ascii="仿宋" w:hAnsi="仿宋" w:eastAsia="仿宋" w:cs="仿宋"/>
                <w:szCs w:val="21"/>
              </w:rPr>
              <w:t>确保生均实训场所面积达到8.8㎡。</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Cs w:val="21"/>
              </w:rPr>
            </w:pPr>
            <w:r>
              <w:rPr>
                <w:rFonts w:hint="eastAsia" w:ascii="仿宋" w:hAnsi="仿宋" w:eastAsia="仿宋" w:cs="仿宋"/>
                <w:color w:val="000000"/>
                <w:szCs w:val="21"/>
              </w:rPr>
              <w:t>250</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Cs w:val="21"/>
              </w:rPr>
            </w:pPr>
            <w:r>
              <w:rPr>
                <w:rFonts w:hint="eastAsia" w:ascii="仿宋" w:hAnsi="仿宋" w:eastAsia="仿宋" w:cs="仿宋"/>
                <w:color w:val="000000"/>
                <w:szCs w:val="21"/>
              </w:rPr>
              <w:t>360</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Cs w:val="21"/>
              </w:rPr>
            </w:pPr>
            <w:r>
              <w:rPr>
                <w:rFonts w:hint="eastAsia" w:ascii="仿宋" w:hAnsi="仿宋" w:eastAsia="仿宋" w:cs="仿宋"/>
                <w:color w:val="000000"/>
                <w:szCs w:val="21"/>
              </w:rPr>
              <w:t>500</w:t>
            </w:r>
          </w:p>
        </w:tc>
      </w:tr>
    </w:tbl>
    <w:p/>
    <w:p>
      <w:pPr>
        <w:pStyle w:val="4"/>
      </w:pPr>
      <w:bookmarkStart w:id="39" w:name="_Toc164347836"/>
      <w:r>
        <w:t>4.</w:t>
      </w:r>
      <w:bookmarkStart w:id="40" w:name="_Toc17968"/>
      <w:r>
        <w:rPr>
          <w:rFonts w:hint="eastAsia"/>
        </w:rPr>
        <w:fldChar w:fldCharType="begin"/>
      </w:r>
      <w:r>
        <w:rPr>
          <w:rFonts w:hint="eastAsia"/>
        </w:rPr>
        <w:instrText xml:space="preserve"> HYPERLINK \l "_Toc19163" </w:instrText>
      </w:r>
      <w:r>
        <w:rPr>
          <w:rFonts w:hint="eastAsia"/>
        </w:rPr>
        <w:fldChar w:fldCharType="separate"/>
      </w:r>
      <w:r>
        <w:rPr>
          <w:rFonts w:hint="eastAsia"/>
        </w:rPr>
        <w:t>图书馆建设提升工程</w:t>
      </w:r>
      <w:bookmarkEnd w:id="39"/>
      <w:r>
        <w:rPr>
          <w:rFonts w:hint="eastAsia"/>
        </w:rPr>
        <w:fldChar w:fldCharType="end"/>
      </w:r>
      <w:bookmarkEnd w:id="40"/>
    </w:p>
    <w:p>
      <w:pPr>
        <w:keepNext/>
        <w:keepLines/>
        <w:spacing w:line="540" w:lineRule="exact"/>
        <w:ind w:firstLine="562" w:firstLineChars="200"/>
        <w:outlineLvl w:val="3"/>
        <w:rPr>
          <w:rFonts w:ascii="Times New Roman" w:hAnsi="Times New Roman" w:eastAsia="仿宋"/>
          <w:b/>
          <w:sz w:val="28"/>
          <w:szCs w:val="28"/>
        </w:rPr>
      </w:pPr>
      <w:r>
        <w:rPr>
          <w:rFonts w:hint="eastAsia" w:ascii="Times New Roman" w:hAnsi="Times New Roman" w:eastAsia="仿宋"/>
          <w:b/>
          <w:sz w:val="28"/>
          <w:szCs w:val="28"/>
        </w:rPr>
        <w:t>（1）必要性和可行性</w:t>
      </w:r>
    </w:p>
    <w:p>
      <w:pPr>
        <w:spacing w:line="54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图书馆作为学校的重要组成部分，对于职业院校教学和科研工作起着至关重要的作用。图书馆是学校教学科研工作的重要支撑资源，图书馆的藏书丰富度和多样性直接影响到师生的教学和科研水平。一个良好的图书馆可以为师生提供丰富的学术资源和参考资料，有利于师生的学习和研究工作。图书馆是学生自主学习和综合素质培养的重要场所，通过图书馆的建设，可以为学生提供安静的学习环境和丰富的学习资料，培养学生的自主学习能力和综合素质。图书馆不仅是存放书籍的场所，更是学校文化的传承和传播场所。一个充满文化氛围的图书馆可以为学校文化建设提供有力支撑，培养学生的人文情怀和文化素养。建设高质量的图书馆对于学校高质量人才培养全过程都具有十分重要的意义。</w:t>
      </w:r>
    </w:p>
    <w:p>
      <w:pPr>
        <w:spacing w:line="540" w:lineRule="exact"/>
        <w:ind w:firstLine="560" w:firstLineChars="200"/>
        <w:rPr>
          <w:rFonts w:ascii="仿宋" w:hAnsi="仿宋" w:eastAsia="仿宋" w:cs="仿宋"/>
          <w:color w:val="000000"/>
          <w:sz w:val="28"/>
          <w:szCs w:val="28"/>
        </w:rPr>
      </w:pPr>
      <w:r>
        <w:rPr>
          <w:rFonts w:ascii="仿宋" w:hAnsi="仿宋" w:eastAsia="仿宋" w:cs="仿宋"/>
          <w:color w:val="000000"/>
          <w:sz w:val="28"/>
          <w:szCs w:val="28"/>
        </w:rPr>
        <w:t>根据教育部</w:t>
      </w:r>
      <w:r>
        <w:rPr>
          <w:rFonts w:hint="eastAsia" w:ascii="仿宋" w:hAnsi="仿宋" w:eastAsia="仿宋" w:cs="仿宋"/>
          <w:color w:val="000000"/>
          <w:sz w:val="28"/>
          <w:szCs w:val="28"/>
        </w:rPr>
        <w:t>高等职业院校办学条件合格标准要求，</w:t>
      </w:r>
      <w:r>
        <w:rPr>
          <w:rFonts w:ascii="仿宋" w:hAnsi="仿宋" w:eastAsia="仿宋" w:cs="仿宋"/>
          <w:color w:val="000000"/>
          <w:sz w:val="28"/>
          <w:szCs w:val="28"/>
        </w:rPr>
        <w:t>职业院校生均藏书量和生均年进书量必须达到国家办学条件要求。根据教育部等五部门印发《职业学校办学条件达标工程实施方案》（教职成〔2022〕5号）、</w:t>
      </w:r>
      <w:r>
        <w:rPr>
          <w:rFonts w:hint="eastAsia" w:ascii="仿宋" w:hAnsi="仿宋" w:eastAsia="仿宋" w:cs="仿宋"/>
          <w:color w:val="000000"/>
          <w:sz w:val="28"/>
          <w:szCs w:val="28"/>
        </w:rPr>
        <w:t>广东省教育厅《关于做好职业学校办学条件达标工程工作的通知》（粤教职函〔2023〕32号），职业院校生均图书必须达到60册。学校生均图书指标离上级要求还有差距，因此加强图书馆建设具有可行性。</w:t>
      </w:r>
    </w:p>
    <w:p>
      <w:pPr>
        <w:keepNext/>
        <w:keepLines/>
        <w:spacing w:line="540" w:lineRule="exact"/>
        <w:ind w:firstLine="562" w:firstLineChars="200"/>
        <w:outlineLvl w:val="3"/>
        <w:rPr>
          <w:rFonts w:ascii="Times New Roman" w:hAnsi="Times New Roman" w:eastAsia="仿宋"/>
          <w:b/>
          <w:sz w:val="28"/>
          <w:szCs w:val="28"/>
        </w:rPr>
      </w:pPr>
      <w:r>
        <w:rPr>
          <w:rFonts w:hint="eastAsia" w:ascii="Times New Roman" w:hAnsi="Times New Roman" w:eastAsia="仿宋"/>
          <w:b/>
          <w:sz w:val="28"/>
          <w:szCs w:val="28"/>
        </w:rPr>
        <w:t>（2）拟解决的关键问题</w:t>
      </w:r>
    </w:p>
    <w:p>
      <w:pPr>
        <w:spacing w:line="54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实施绩效工资制度改革，开源节流，通过压减其他项目开支，申请省级专项经费支持等方式，增加图书采购支出，减少图书缺口。</w:t>
      </w:r>
    </w:p>
    <w:p>
      <w:pPr>
        <w:keepNext/>
        <w:keepLines/>
        <w:spacing w:line="540" w:lineRule="exact"/>
        <w:ind w:firstLine="562" w:firstLineChars="200"/>
        <w:outlineLvl w:val="3"/>
        <w:rPr>
          <w:rFonts w:ascii="Times New Roman" w:hAnsi="Times New Roman" w:eastAsia="仿宋"/>
          <w:b/>
          <w:sz w:val="28"/>
          <w:szCs w:val="28"/>
        </w:rPr>
      </w:pPr>
      <w:r>
        <w:rPr>
          <w:rFonts w:hint="eastAsia" w:ascii="Times New Roman" w:hAnsi="Times New Roman" w:eastAsia="仿宋"/>
          <w:b/>
          <w:sz w:val="28"/>
          <w:szCs w:val="28"/>
        </w:rPr>
        <w:t>（3）建设目标</w:t>
      </w:r>
    </w:p>
    <w:p>
      <w:pPr>
        <w:spacing w:line="54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以全校师生为本，以文献信息资源建设、开发、利用为重点，以管理创新、服务创新为中心，以队伍建设为关键，建立健全与我校的教学、科研和学科建设发展相适应的文献资源保障系统和读者服务保障系统，筹集资金，增加学校图书馆纸质图书18.5万册，实现学校生均图书指标达标。</w:t>
      </w:r>
    </w:p>
    <w:p>
      <w:pPr>
        <w:keepNext/>
        <w:keepLines/>
        <w:spacing w:line="540" w:lineRule="exact"/>
        <w:ind w:firstLine="562" w:firstLineChars="200"/>
        <w:outlineLvl w:val="3"/>
        <w:rPr>
          <w:rFonts w:ascii="Times New Roman" w:hAnsi="Times New Roman" w:eastAsia="仿宋"/>
          <w:b/>
          <w:sz w:val="28"/>
          <w:szCs w:val="28"/>
        </w:rPr>
      </w:pPr>
      <w:r>
        <w:rPr>
          <w:rFonts w:hint="eastAsia" w:ascii="Times New Roman" w:hAnsi="Times New Roman" w:eastAsia="仿宋"/>
          <w:b/>
          <w:sz w:val="28"/>
          <w:szCs w:val="28"/>
        </w:rPr>
        <w:t>（4）重点建设任务</w:t>
      </w:r>
    </w:p>
    <w:p>
      <w:pPr>
        <w:spacing w:line="54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通过三年建设，到2025年，使我校图书馆文献资源达到教育部《全国高职高专院校图书馆评价指标体系（试行）》的合格要求，生均图书超过60册，力争赶上省内同类高校图书馆的平均发展水平。</w:t>
      </w:r>
    </w:p>
    <w:p>
      <w:pPr>
        <w:keepNext/>
        <w:keepLines/>
        <w:spacing w:line="540" w:lineRule="exact"/>
        <w:ind w:firstLine="562" w:firstLineChars="200"/>
        <w:outlineLvl w:val="3"/>
        <w:rPr>
          <w:rFonts w:ascii="Times New Roman" w:hAnsi="Times New Roman" w:eastAsia="仿宋"/>
          <w:b/>
          <w:sz w:val="28"/>
          <w:szCs w:val="28"/>
        </w:rPr>
      </w:pPr>
      <w:r>
        <w:rPr>
          <w:rFonts w:hint="eastAsia" w:ascii="Times New Roman" w:hAnsi="Times New Roman" w:eastAsia="仿宋"/>
          <w:b/>
          <w:sz w:val="28"/>
          <w:szCs w:val="28"/>
        </w:rPr>
        <w:t>（5）建设计划</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1"/>
        <w:gridCol w:w="2036"/>
        <w:gridCol w:w="3564"/>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171" w:type="dxa"/>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年度</w:t>
            </w:r>
          </w:p>
        </w:tc>
        <w:tc>
          <w:tcPr>
            <w:tcW w:w="2036" w:type="dxa"/>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建设任务</w:t>
            </w:r>
          </w:p>
        </w:tc>
        <w:tc>
          <w:tcPr>
            <w:tcW w:w="3564" w:type="dxa"/>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建设内容</w:t>
            </w:r>
          </w:p>
        </w:tc>
        <w:tc>
          <w:tcPr>
            <w:tcW w:w="1559" w:type="dxa"/>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负责部门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1" w:type="dxa"/>
            <w:vMerge w:val="restart"/>
            <w:vAlign w:val="center"/>
          </w:tcPr>
          <w:p>
            <w:pPr>
              <w:jc w:val="center"/>
              <w:rPr>
                <w:rFonts w:ascii="仿宋" w:hAnsi="仿宋" w:eastAsia="仿宋" w:cs="仿宋"/>
                <w:b/>
                <w:szCs w:val="21"/>
              </w:rPr>
            </w:pPr>
            <w:r>
              <w:rPr>
                <w:rFonts w:hint="eastAsia" w:ascii="仿宋" w:hAnsi="仿宋" w:eastAsia="仿宋" w:cs="仿宋"/>
                <w:b/>
                <w:szCs w:val="21"/>
              </w:rPr>
              <w:t>2023</w:t>
            </w:r>
          </w:p>
        </w:tc>
        <w:tc>
          <w:tcPr>
            <w:tcW w:w="2036" w:type="dxa"/>
            <w:vAlign w:val="center"/>
          </w:tcPr>
          <w:p>
            <w:pPr>
              <w:jc w:val="left"/>
              <w:rPr>
                <w:rFonts w:ascii="仿宋" w:hAnsi="仿宋" w:eastAsia="仿宋" w:cs="仿宋"/>
                <w:bCs/>
                <w:szCs w:val="21"/>
                <w:highlight w:val="yellow"/>
              </w:rPr>
            </w:pPr>
            <w:r>
              <w:rPr>
                <w:rFonts w:hint="eastAsia" w:ascii="仿宋" w:hAnsi="仿宋" w:eastAsia="仿宋" w:cs="仿宋"/>
                <w:bCs/>
                <w:szCs w:val="21"/>
              </w:rPr>
              <w:t>加强文献资源建设</w:t>
            </w:r>
          </w:p>
        </w:tc>
        <w:tc>
          <w:tcPr>
            <w:tcW w:w="3564" w:type="dxa"/>
            <w:vAlign w:val="center"/>
          </w:tcPr>
          <w:p>
            <w:pPr>
              <w:jc w:val="left"/>
              <w:rPr>
                <w:rFonts w:ascii="仿宋" w:hAnsi="仿宋" w:eastAsia="仿宋" w:cs="仿宋"/>
                <w:bCs/>
                <w:szCs w:val="21"/>
              </w:rPr>
            </w:pPr>
            <w:r>
              <w:rPr>
                <w:rFonts w:hint="eastAsia" w:ascii="仿宋" w:hAnsi="仿宋" w:eastAsia="仿宋" w:cs="仿宋"/>
                <w:bCs/>
                <w:szCs w:val="21"/>
              </w:rPr>
              <w:t>加大文献资源建设的经费投入，保证经费支持，逐年增加文献资源（含数字文献），争取在2023年馆藏文献（含数字文献）达60万册以上（按10000名在校生计算）。</w:t>
            </w:r>
          </w:p>
        </w:tc>
        <w:tc>
          <w:tcPr>
            <w:tcW w:w="1559" w:type="dxa"/>
            <w:vAlign w:val="center"/>
          </w:tcPr>
          <w:p>
            <w:pPr>
              <w:jc w:val="center"/>
              <w:rPr>
                <w:rFonts w:ascii="仿宋" w:hAnsi="仿宋" w:eastAsia="仿宋" w:cs="仿宋"/>
                <w:bCs/>
                <w:szCs w:val="21"/>
              </w:rPr>
            </w:pPr>
            <w:r>
              <w:rPr>
                <w:rFonts w:ascii="仿宋" w:hAnsi="仿宋" w:eastAsia="仿宋" w:cs="仿宋"/>
                <w:bCs/>
                <w:szCs w:val="21"/>
              </w:rPr>
              <w:t>图书馆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1" w:type="dxa"/>
            <w:vMerge w:val="continue"/>
            <w:vAlign w:val="center"/>
          </w:tcPr>
          <w:p>
            <w:pPr>
              <w:jc w:val="center"/>
              <w:rPr>
                <w:rFonts w:ascii="仿宋" w:hAnsi="仿宋" w:eastAsia="仿宋" w:cs="仿宋"/>
                <w:b/>
                <w:szCs w:val="21"/>
              </w:rPr>
            </w:pPr>
          </w:p>
        </w:tc>
        <w:tc>
          <w:tcPr>
            <w:tcW w:w="2036" w:type="dxa"/>
            <w:vAlign w:val="center"/>
          </w:tcPr>
          <w:p>
            <w:pPr>
              <w:jc w:val="left"/>
              <w:rPr>
                <w:rFonts w:ascii="仿宋" w:hAnsi="仿宋" w:eastAsia="仿宋" w:cs="仿宋"/>
                <w:bCs/>
                <w:szCs w:val="21"/>
                <w:highlight w:val="yellow"/>
              </w:rPr>
            </w:pPr>
            <w:r>
              <w:rPr>
                <w:rFonts w:hint="eastAsia" w:ascii="仿宋" w:hAnsi="仿宋" w:eastAsia="仿宋" w:cs="仿宋"/>
                <w:bCs/>
                <w:szCs w:val="21"/>
              </w:rPr>
              <w:t>加强服务工作建设</w:t>
            </w:r>
          </w:p>
        </w:tc>
        <w:tc>
          <w:tcPr>
            <w:tcW w:w="3564" w:type="dxa"/>
            <w:vAlign w:val="center"/>
          </w:tcPr>
          <w:p>
            <w:pPr>
              <w:jc w:val="left"/>
              <w:rPr>
                <w:rFonts w:ascii="仿宋" w:hAnsi="仿宋" w:eastAsia="仿宋" w:cs="仿宋"/>
                <w:bCs/>
                <w:szCs w:val="21"/>
              </w:rPr>
            </w:pPr>
            <w:r>
              <w:rPr>
                <w:rFonts w:hint="eastAsia" w:ascii="仿宋" w:hAnsi="仿宋" w:eastAsia="仿宋" w:cs="仿宋"/>
                <w:bCs/>
                <w:szCs w:val="21"/>
              </w:rPr>
              <w:t>开展馆际互借和文献传递工作 ：积极与兄弟院校、各级图工委及各级图书学会联系，开展一定的区域文献信息资源共享</w:t>
            </w:r>
          </w:p>
        </w:tc>
        <w:tc>
          <w:tcPr>
            <w:tcW w:w="1559" w:type="dxa"/>
            <w:vAlign w:val="center"/>
          </w:tcPr>
          <w:p>
            <w:pPr>
              <w:jc w:val="center"/>
              <w:rPr>
                <w:rFonts w:ascii="仿宋" w:hAnsi="仿宋" w:eastAsia="仿宋" w:cs="仿宋"/>
                <w:bCs/>
                <w:szCs w:val="21"/>
              </w:rPr>
            </w:pPr>
            <w:r>
              <w:rPr>
                <w:rFonts w:ascii="仿宋" w:hAnsi="仿宋" w:eastAsia="仿宋" w:cs="仿宋"/>
                <w:bCs/>
                <w:szCs w:val="21"/>
              </w:rPr>
              <w:t>图书馆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1" w:type="dxa"/>
            <w:vMerge w:val="continue"/>
            <w:vAlign w:val="center"/>
          </w:tcPr>
          <w:p>
            <w:pPr>
              <w:jc w:val="center"/>
              <w:rPr>
                <w:rFonts w:ascii="仿宋" w:hAnsi="仿宋" w:eastAsia="仿宋" w:cs="仿宋"/>
                <w:b/>
                <w:szCs w:val="21"/>
              </w:rPr>
            </w:pPr>
          </w:p>
        </w:tc>
        <w:tc>
          <w:tcPr>
            <w:tcW w:w="2036" w:type="dxa"/>
            <w:vAlign w:val="center"/>
          </w:tcPr>
          <w:p>
            <w:pPr>
              <w:jc w:val="left"/>
              <w:rPr>
                <w:rFonts w:ascii="仿宋" w:hAnsi="仿宋" w:eastAsia="仿宋" w:cs="仿宋"/>
                <w:bCs/>
                <w:szCs w:val="21"/>
              </w:rPr>
            </w:pPr>
            <w:r>
              <w:rPr>
                <w:rFonts w:hint="eastAsia" w:ascii="仿宋" w:hAnsi="仿宋" w:eastAsia="仿宋" w:cs="仿宋"/>
                <w:bCs/>
                <w:szCs w:val="21"/>
              </w:rPr>
              <w:t>加强图书馆队伍建设</w:t>
            </w:r>
          </w:p>
        </w:tc>
        <w:tc>
          <w:tcPr>
            <w:tcW w:w="3564" w:type="dxa"/>
            <w:vAlign w:val="center"/>
          </w:tcPr>
          <w:p>
            <w:pPr>
              <w:jc w:val="left"/>
              <w:rPr>
                <w:rFonts w:ascii="仿宋" w:hAnsi="仿宋" w:eastAsia="仿宋" w:cs="仿宋"/>
                <w:bCs/>
                <w:szCs w:val="21"/>
              </w:rPr>
            </w:pPr>
            <w:r>
              <w:rPr>
                <w:rFonts w:hint="eastAsia" w:ascii="仿宋" w:hAnsi="仿宋" w:eastAsia="仿宋" w:cs="仿宋"/>
                <w:bCs/>
                <w:szCs w:val="21"/>
              </w:rPr>
              <w:t>提高馆员综合素质，增强为教学科研服务能力。</w:t>
            </w:r>
          </w:p>
        </w:tc>
        <w:tc>
          <w:tcPr>
            <w:tcW w:w="1559" w:type="dxa"/>
            <w:vAlign w:val="center"/>
          </w:tcPr>
          <w:p>
            <w:pPr>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1" w:type="dxa"/>
            <w:vMerge w:val="restart"/>
            <w:vAlign w:val="center"/>
          </w:tcPr>
          <w:p>
            <w:pPr>
              <w:jc w:val="center"/>
              <w:rPr>
                <w:rFonts w:ascii="仿宋" w:hAnsi="仿宋" w:eastAsia="仿宋" w:cs="仿宋"/>
                <w:b/>
                <w:szCs w:val="21"/>
              </w:rPr>
            </w:pPr>
            <w:r>
              <w:rPr>
                <w:rFonts w:hint="eastAsia" w:ascii="仿宋" w:hAnsi="仿宋" w:eastAsia="仿宋" w:cs="仿宋"/>
                <w:b/>
                <w:szCs w:val="21"/>
              </w:rPr>
              <w:t>2024</w:t>
            </w:r>
          </w:p>
        </w:tc>
        <w:tc>
          <w:tcPr>
            <w:tcW w:w="2036" w:type="dxa"/>
            <w:vAlign w:val="center"/>
          </w:tcPr>
          <w:p>
            <w:pPr>
              <w:jc w:val="left"/>
              <w:rPr>
                <w:rFonts w:ascii="仿宋" w:hAnsi="仿宋" w:eastAsia="仿宋" w:cs="仿宋"/>
                <w:bCs/>
                <w:szCs w:val="21"/>
                <w:highlight w:val="yellow"/>
              </w:rPr>
            </w:pPr>
            <w:r>
              <w:rPr>
                <w:rFonts w:hint="eastAsia" w:ascii="仿宋" w:hAnsi="仿宋" w:eastAsia="仿宋" w:cs="仿宋"/>
                <w:bCs/>
                <w:szCs w:val="21"/>
              </w:rPr>
              <w:t>加强文献资源建设</w:t>
            </w:r>
          </w:p>
        </w:tc>
        <w:tc>
          <w:tcPr>
            <w:tcW w:w="3564" w:type="dxa"/>
            <w:vAlign w:val="center"/>
          </w:tcPr>
          <w:p>
            <w:pPr>
              <w:jc w:val="left"/>
              <w:rPr>
                <w:rFonts w:ascii="仿宋" w:hAnsi="仿宋" w:eastAsia="仿宋" w:cs="仿宋"/>
                <w:bCs/>
                <w:szCs w:val="21"/>
              </w:rPr>
            </w:pPr>
            <w:r>
              <w:rPr>
                <w:rFonts w:hint="eastAsia" w:ascii="仿宋" w:hAnsi="仿宋" w:eastAsia="仿宋" w:cs="仿宋"/>
                <w:bCs/>
                <w:szCs w:val="21"/>
              </w:rPr>
              <w:t>加大电子文献资源建设，年进书量不低于2万册（含数字文献），建立期刊库（维普、万方、知网）、电子图书库（中文在线、超星）、特色资源库（包括在线课程，学校主干专业资源库如设计师之家、软件通、网上报告厅等），为教学、科研及文化传承提供优质高效的文献信息保障。</w:t>
            </w:r>
          </w:p>
        </w:tc>
        <w:tc>
          <w:tcPr>
            <w:tcW w:w="1559" w:type="dxa"/>
            <w:vAlign w:val="center"/>
          </w:tcPr>
          <w:p>
            <w:pPr>
              <w:jc w:val="center"/>
              <w:rPr>
                <w:rFonts w:ascii="仿宋" w:hAnsi="仿宋" w:eastAsia="仿宋" w:cs="仿宋"/>
                <w:bCs/>
                <w:szCs w:val="21"/>
              </w:rPr>
            </w:pPr>
            <w:r>
              <w:rPr>
                <w:rFonts w:ascii="仿宋" w:hAnsi="仿宋" w:eastAsia="仿宋" w:cs="仿宋"/>
                <w:bCs/>
                <w:szCs w:val="21"/>
              </w:rPr>
              <w:t>图书馆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1" w:type="dxa"/>
            <w:vMerge w:val="continue"/>
            <w:vAlign w:val="center"/>
          </w:tcPr>
          <w:p>
            <w:pPr>
              <w:jc w:val="center"/>
              <w:rPr>
                <w:rFonts w:ascii="仿宋" w:hAnsi="仿宋" w:eastAsia="仿宋" w:cs="仿宋"/>
                <w:bCs/>
                <w:szCs w:val="21"/>
              </w:rPr>
            </w:pPr>
          </w:p>
        </w:tc>
        <w:tc>
          <w:tcPr>
            <w:tcW w:w="2036" w:type="dxa"/>
            <w:vAlign w:val="center"/>
          </w:tcPr>
          <w:p>
            <w:pPr>
              <w:jc w:val="left"/>
              <w:rPr>
                <w:rFonts w:ascii="仿宋" w:hAnsi="仿宋" w:eastAsia="仿宋" w:cs="仿宋"/>
                <w:bCs/>
                <w:szCs w:val="21"/>
                <w:highlight w:val="yellow"/>
              </w:rPr>
            </w:pPr>
            <w:r>
              <w:rPr>
                <w:rFonts w:hint="eastAsia" w:ascii="仿宋" w:hAnsi="仿宋" w:eastAsia="仿宋" w:cs="仿宋"/>
                <w:bCs/>
                <w:szCs w:val="21"/>
              </w:rPr>
              <w:t>加强服务工作建设</w:t>
            </w:r>
          </w:p>
        </w:tc>
        <w:tc>
          <w:tcPr>
            <w:tcW w:w="3564" w:type="dxa"/>
            <w:vAlign w:val="center"/>
          </w:tcPr>
          <w:p>
            <w:pPr>
              <w:jc w:val="left"/>
              <w:rPr>
                <w:rFonts w:ascii="仿宋" w:hAnsi="仿宋" w:eastAsia="仿宋" w:cs="仿宋"/>
                <w:bCs/>
                <w:szCs w:val="21"/>
              </w:rPr>
            </w:pPr>
            <w:r>
              <w:rPr>
                <w:rFonts w:hint="eastAsia" w:ascii="仿宋" w:hAnsi="仿宋" w:eastAsia="仿宋" w:cs="仿宋"/>
                <w:bCs/>
                <w:szCs w:val="21"/>
              </w:rPr>
              <w:t>增设流通部、采编部、技术部、综合部等内设机构，试行学科馆员制度</w:t>
            </w:r>
          </w:p>
        </w:tc>
        <w:tc>
          <w:tcPr>
            <w:tcW w:w="1559" w:type="dxa"/>
            <w:vAlign w:val="center"/>
          </w:tcPr>
          <w:p>
            <w:pPr>
              <w:jc w:val="center"/>
              <w:rPr>
                <w:rFonts w:ascii="仿宋" w:hAnsi="仿宋" w:eastAsia="仿宋" w:cs="仿宋"/>
                <w:bCs/>
                <w:szCs w:val="21"/>
              </w:rPr>
            </w:pPr>
            <w:r>
              <w:rPr>
                <w:rFonts w:ascii="仿宋" w:hAnsi="仿宋" w:eastAsia="仿宋" w:cs="仿宋"/>
                <w:bCs/>
                <w:szCs w:val="21"/>
              </w:rPr>
              <w:t>图书馆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1" w:type="dxa"/>
            <w:vMerge w:val="continue"/>
            <w:vAlign w:val="center"/>
          </w:tcPr>
          <w:p>
            <w:pPr>
              <w:jc w:val="center"/>
              <w:rPr>
                <w:rFonts w:ascii="仿宋" w:hAnsi="仿宋" w:eastAsia="仿宋" w:cs="仿宋"/>
                <w:bCs/>
                <w:szCs w:val="21"/>
              </w:rPr>
            </w:pPr>
          </w:p>
        </w:tc>
        <w:tc>
          <w:tcPr>
            <w:tcW w:w="2036" w:type="dxa"/>
            <w:vAlign w:val="center"/>
          </w:tcPr>
          <w:p>
            <w:pPr>
              <w:jc w:val="left"/>
              <w:rPr>
                <w:rFonts w:ascii="仿宋" w:hAnsi="仿宋" w:eastAsia="仿宋" w:cs="仿宋"/>
                <w:bCs/>
                <w:szCs w:val="21"/>
              </w:rPr>
            </w:pPr>
            <w:r>
              <w:rPr>
                <w:rFonts w:hint="eastAsia" w:ascii="仿宋" w:hAnsi="仿宋" w:eastAsia="仿宋" w:cs="仿宋"/>
                <w:bCs/>
                <w:szCs w:val="21"/>
              </w:rPr>
              <w:t>加强图书馆队伍建设</w:t>
            </w:r>
          </w:p>
        </w:tc>
        <w:tc>
          <w:tcPr>
            <w:tcW w:w="3564" w:type="dxa"/>
            <w:vAlign w:val="center"/>
          </w:tcPr>
          <w:p>
            <w:pPr>
              <w:jc w:val="left"/>
              <w:rPr>
                <w:rFonts w:ascii="仿宋" w:hAnsi="仿宋" w:eastAsia="仿宋" w:cs="仿宋"/>
                <w:bCs/>
                <w:szCs w:val="21"/>
              </w:rPr>
            </w:pPr>
            <w:r>
              <w:rPr>
                <w:rFonts w:hint="eastAsia" w:ascii="仿宋" w:hAnsi="仿宋" w:eastAsia="仿宋" w:cs="仿宋"/>
                <w:bCs/>
                <w:szCs w:val="21"/>
              </w:rPr>
              <w:t>根据业务工作的开展，不断引进不同学科的高素质专业人才</w:t>
            </w:r>
          </w:p>
        </w:tc>
        <w:tc>
          <w:tcPr>
            <w:tcW w:w="1559" w:type="dxa"/>
            <w:vAlign w:val="center"/>
          </w:tcPr>
          <w:p>
            <w:pPr>
              <w:jc w:val="center"/>
              <w:rPr>
                <w:rFonts w:ascii="仿宋" w:hAnsi="仿宋" w:eastAsia="仿宋" w:cs="仿宋"/>
                <w:bCs/>
                <w:szCs w:val="21"/>
              </w:rPr>
            </w:pPr>
            <w:r>
              <w:rPr>
                <w:rFonts w:ascii="仿宋" w:hAnsi="仿宋" w:eastAsia="仿宋" w:cs="仿宋"/>
                <w:bCs/>
                <w:szCs w:val="21"/>
              </w:rPr>
              <w:t>图书馆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1" w:type="dxa"/>
            <w:vMerge w:val="restart"/>
            <w:vAlign w:val="center"/>
          </w:tcPr>
          <w:p>
            <w:pPr>
              <w:jc w:val="center"/>
              <w:rPr>
                <w:rFonts w:ascii="仿宋" w:hAnsi="仿宋" w:eastAsia="仿宋" w:cs="仿宋"/>
                <w:bCs/>
                <w:szCs w:val="21"/>
              </w:rPr>
            </w:pPr>
            <w:r>
              <w:rPr>
                <w:rFonts w:hint="eastAsia" w:ascii="仿宋" w:hAnsi="仿宋" w:eastAsia="仿宋" w:cs="仿宋"/>
                <w:b/>
                <w:szCs w:val="21"/>
              </w:rPr>
              <w:t>2025</w:t>
            </w:r>
          </w:p>
        </w:tc>
        <w:tc>
          <w:tcPr>
            <w:tcW w:w="2036" w:type="dxa"/>
            <w:vAlign w:val="center"/>
          </w:tcPr>
          <w:p>
            <w:pPr>
              <w:jc w:val="left"/>
              <w:rPr>
                <w:rFonts w:ascii="仿宋" w:hAnsi="仿宋" w:eastAsia="仿宋" w:cs="仿宋"/>
                <w:bCs/>
                <w:szCs w:val="21"/>
              </w:rPr>
            </w:pPr>
            <w:r>
              <w:rPr>
                <w:rFonts w:hint="eastAsia" w:ascii="仿宋" w:hAnsi="仿宋" w:eastAsia="仿宋" w:cs="仿宋"/>
                <w:bCs/>
                <w:szCs w:val="21"/>
              </w:rPr>
              <w:t>加强文献资源建设</w:t>
            </w:r>
          </w:p>
        </w:tc>
        <w:tc>
          <w:tcPr>
            <w:tcW w:w="3564" w:type="dxa"/>
            <w:vAlign w:val="center"/>
          </w:tcPr>
          <w:p>
            <w:pPr>
              <w:jc w:val="left"/>
              <w:rPr>
                <w:rFonts w:ascii="仿宋" w:hAnsi="仿宋" w:eastAsia="仿宋" w:cs="仿宋"/>
                <w:bCs/>
                <w:szCs w:val="21"/>
              </w:rPr>
            </w:pPr>
            <w:r>
              <w:rPr>
                <w:rFonts w:hint="eastAsia" w:ascii="仿宋" w:hAnsi="仿宋" w:eastAsia="仿宋" w:cs="仿宋"/>
                <w:bCs/>
                <w:szCs w:val="21"/>
              </w:rPr>
              <w:t>建立“教师文库”，建立“学生优秀毕业作品库”。年进书量不低于2万册（含数字文献）</w:t>
            </w:r>
          </w:p>
        </w:tc>
        <w:tc>
          <w:tcPr>
            <w:tcW w:w="1559" w:type="dxa"/>
            <w:vAlign w:val="center"/>
          </w:tcPr>
          <w:p>
            <w:pPr>
              <w:jc w:val="center"/>
              <w:rPr>
                <w:rFonts w:ascii="仿宋" w:hAnsi="仿宋" w:eastAsia="仿宋" w:cs="仿宋"/>
                <w:bCs/>
                <w:szCs w:val="21"/>
              </w:rPr>
            </w:pPr>
            <w:r>
              <w:rPr>
                <w:rFonts w:ascii="仿宋" w:hAnsi="仿宋" w:eastAsia="仿宋" w:cs="仿宋"/>
                <w:bCs/>
                <w:szCs w:val="21"/>
              </w:rPr>
              <w:t>图书馆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1" w:type="dxa"/>
            <w:vMerge w:val="continue"/>
            <w:vAlign w:val="center"/>
          </w:tcPr>
          <w:p>
            <w:pPr>
              <w:jc w:val="center"/>
              <w:rPr>
                <w:rFonts w:ascii="仿宋" w:hAnsi="仿宋" w:eastAsia="仿宋" w:cs="仿宋"/>
                <w:bCs/>
                <w:szCs w:val="21"/>
              </w:rPr>
            </w:pPr>
          </w:p>
        </w:tc>
        <w:tc>
          <w:tcPr>
            <w:tcW w:w="2036" w:type="dxa"/>
            <w:vAlign w:val="center"/>
          </w:tcPr>
          <w:p>
            <w:pPr>
              <w:jc w:val="left"/>
              <w:rPr>
                <w:rFonts w:ascii="仿宋" w:hAnsi="仿宋" w:eastAsia="仿宋" w:cs="仿宋"/>
                <w:bCs/>
                <w:szCs w:val="21"/>
              </w:rPr>
            </w:pPr>
            <w:r>
              <w:rPr>
                <w:rFonts w:hint="eastAsia" w:ascii="仿宋" w:hAnsi="仿宋" w:eastAsia="仿宋" w:cs="仿宋"/>
                <w:bCs/>
                <w:szCs w:val="21"/>
              </w:rPr>
              <w:t>加强服务工作建设</w:t>
            </w:r>
          </w:p>
        </w:tc>
        <w:tc>
          <w:tcPr>
            <w:tcW w:w="3564" w:type="dxa"/>
            <w:vAlign w:val="center"/>
          </w:tcPr>
          <w:p>
            <w:pPr>
              <w:jc w:val="left"/>
              <w:rPr>
                <w:rFonts w:ascii="仿宋" w:hAnsi="仿宋" w:eastAsia="仿宋" w:cs="仿宋"/>
                <w:bCs/>
                <w:szCs w:val="21"/>
              </w:rPr>
            </w:pPr>
            <w:r>
              <w:rPr>
                <w:rFonts w:hint="eastAsia" w:ascii="仿宋" w:hAnsi="仿宋" w:eastAsia="仿宋" w:cs="仿宋"/>
                <w:bCs/>
                <w:szCs w:val="21"/>
              </w:rPr>
              <w:t>加大图书馆自动化建设，开通“移动图书馆”，开通图书馆网站。</w:t>
            </w:r>
          </w:p>
        </w:tc>
        <w:tc>
          <w:tcPr>
            <w:tcW w:w="1559" w:type="dxa"/>
            <w:vAlign w:val="center"/>
          </w:tcPr>
          <w:p>
            <w:pPr>
              <w:jc w:val="center"/>
              <w:rPr>
                <w:rFonts w:ascii="仿宋" w:hAnsi="仿宋" w:eastAsia="仿宋" w:cs="仿宋"/>
                <w:bCs/>
                <w:szCs w:val="21"/>
              </w:rPr>
            </w:pPr>
            <w:r>
              <w:rPr>
                <w:rFonts w:ascii="仿宋" w:hAnsi="仿宋" w:eastAsia="仿宋" w:cs="仿宋"/>
                <w:bCs/>
                <w:szCs w:val="21"/>
              </w:rPr>
              <w:t>图书馆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1" w:type="dxa"/>
            <w:vMerge w:val="continue"/>
            <w:vAlign w:val="center"/>
          </w:tcPr>
          <w:p>
            <w:pPr>
              <w:jc w:val="center"/>
              <w:rPr>
                <w:rFonts w:ascii="仿宋" w:hAnsi="仿宋" w:eastAsia="仿宋" w:cs="仿宋"/>
                <w:bCs/>
                <w:szCs w:val="21"/>
              </w:rPr>
            </w:pPr>
          </w:p>
        </w:tc>
        <w:tc>
          <w:tcPr>
            <w:tcW w:w="2036" w:type="dxa"/>
            <w:vAlign w:val="center"/>
          </w:tcPr>
          <w:p>
            <w:pPr>
              <w:jc w:val="left"/>
              <w:rPr>
                <w:rFonts w:ascii="仿宋" w:hAnsi="仿宋" w:eastAsia="仿宋" w:cs="仿宋"/>
                <w:bCs/>
                <w:szCs w:val="21"/>
              </w:rPr>
            </w:pPr>
            <w:r>
              <w:rPr>
                <w:rFonts w:hint="eastAsia" w:ascii="仿宋" w:hAnsi="仿宋" w:eastAsia="仿宋" w:cs="仿宋"/>
                <w:bCs/>
                <w:szCs w:val="21"/>
              </w:rPr>
              <w:t>加强图书馆队伍建设</w:t>
            </w:r>
          </w:p>
        </w:tc>
        <w:tc>
          <w:tcPr>
            <w:tcW w:w="3564" w:type="dxa"/>
            <w:vAlign w:val="center"/>
          </w:tcPr>
          <w:p>
            <w:pPr>
              <w:jc w:val="left"/>
              <w:rPr>
                <w:rFonts w:ascii="仿宋" w:hAnsi="仿宋" w:eastAsia="仿宋" w:cs="仿宋"/>
                <w:bCs/>
                <w:szCs w:val="21"/>
              </w:rPr>
            </w:pPr>
            <w:r>
              <w:rPr>
                <w:rFonts w:hint="eastAsia" w:ascii="仿宋" w:hAnsi="仿宋" w:eastAsia="仿宋" w:cs="仿宋"/>
                <w:bCs/>
                <w:szCs w:val="21"/>
              </w:rPr>
              <w:t>有计划地派出2－3名工作人员结合工作需要，短期培训或脱产培训。</w:t>
            </w:r>
          </w:p>
          <w:p>
            <w:pPr>
              <w:jc w:val="left"/>
              <w:rPr>
                <w:rFonts w:ascii="仿宋" w:hAnsi="仿宋" w:eastAsia="仿宋" w:cs="仿宋"/>
                <w:bCs/>
                <w:szCs w:val="21"/>
              </w:rPr>
            </w:pPr>
          </w:p>
        </w:tc>
        <w:tc>
          <w:tcPr>
            <w:tcW w:w="1559" w:type="dxa"/>
            <w:vAlign w:val="center"/>
          </w:tcPr>
          <w:p>
            <w:pPr>
              <w:jc w:val="center"/>
              <w:rPr>
                <w:rFonts w:ascii="仿宋" w:hAnsi="仿宋" w:eastAsia="仿宋" w:cs="仿宋"/>
                <w:bCs/>
                <w:szCs w:val="21"/>
              </w:rPr>
            </w:pPr>
            <w:r>
              <w:rPr>
                <w:rFonts w:ascii="仿宋" w:hAnsi="仿宋" w:eastAsia="仿宋" w:cs="仿宋"/>
                <w:bCs/>
                <w:szCs w:val="21"/>
              </w:rPr>
              <w:t>图书馆</w:t>
            </w:r>
          </w:p>
        </w:tc>
      </w:tr>
    </w:tbl>
    <w:p>
      <w:pPr>
        <w:keepNext/>
        <w:keepLines/>
        <w:spacing w:line="540" w:lineRule="exact"/>
        <w:ind w:firstLine="562" w:firstLineChars="200"/>
        <w:outlineLvl w:val="3"/>
        <w:rPr>
          <w:rFonts w:ascii="Times New Roman" w:hAnsi="Times New Roman" w:eastAsia="仿宋"/>
          <w:b/>
          <w:sz w:val="28"/>
          <w:szCs w:val="28"/>
        </w:rPr>
      </w:pPr>
      <w:r>
        <w:rPr>
          <w:rFonts w:hint="eastAsia" w:ascii="Times New Roman" w:hAnsi="Times New Roman" w:eastAsia="仿宋"/>
          <w:b/>
          <w:sz w:val="28"/>
          <w:szCs w:val="28"/>
        </w:rPr>
        <w:t>（6）预期成效及资金测算</w:t>
      </w:r>
    </w:p>
    <w:tbl>
      <w:tblPr>
        <w:tblStyle w:val="16"/>
        <w:tblW w:w="0" w:type="auto"/>
        <w:jc w:val="center"/>
        <w:tblLayout w:type="autofit"/>
        <w:tblCellMar>
          <w:top w:w="15" w:type="dxa"/>
          <w:left w:w="15" w:type="dxa"/>
          <w:bottom w:w="15" w:type="dxa"/>
          <w:right w:w="15" w:type="dxa"/>
        </w:tblCellMar>
      </w:tblPr>
      <w:tblGrid>
        <w:gridCol w:w="1139"/>
        <w:gridCol w:w="2793"/>
        <w:gridCol w:w="2054"/>
        <w:gridCol w:w="783"/>
        <w:gridCol w:w="783"/>
        <w:gridCol w:w="784"/>
      </w:tblGrid>
      <w:tr>
        <w:tblPrEx>
          <w:tblCellMar>
            <w:top w:w="15" w:type="dxa"/>
            <w:left w:w="15" w:type="dxa"/>
            <w:bottom w:w="15" w:type="dxa"/>
            <w:right w:w="15" w:type="dxa"/>
          </w:tblCellMar>
        </w:tblPrEx>
        <w:trPr>
          <w:trHeight w:val="301" w:hRule="atLeast"/>
          <w:jc w:val="center"/>
        </w:trPr>
        <w:tc>
          <w:tcPr>
            <w:tcW w:w="1139" w:type="dxa"/>
            <w:vMerge w:val="restart"/>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项目名称</w:t>
            </w:r>
          </w:p>
        </w:tc>
        <w:tc>
          <w:tcPr>
            <w:tcW w:w="2793" w:type="dxa"/>
            <w:vMerge w:val="restart"/>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主要建设内容</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预期建设成效</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建设资金安排表（万元）</w:t>
            </w:r>
          </w:p>
        </w:tc>
      </w:tr>
      <w:tr>
        <w:tblPrEx>
          <w:tblCellMar>
            <w:top w:w="15" w:type="dxa"/>
            <w:left w:w="15" w:type="dxa"/>
            <w:bottom w:w="15" w:type="dxa"/>
            <w:right w:w="15" w:type="dxa"/>
          </w:tblCellMar>
        </w:tblPrEx>
        <w:trPr>
          <w:trHeight w:val="801" w:hRule="atLeast"/>
          <w:jc w:val="center"/>
        </w:trPr>
        <w:tc>
          <w:tcPr>
            <w:tcW w:w="1139" w:type="dxa"/>
            <w:vMerge w:val="continue"/>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jc w:val="center"/>
              <w:rPr>
                <w:rFonts w:ascii="仿宋" w:hAnsi="仿宋" w:eastAsia="仿宋" w:cs="仿宋"/>
                <w:b/>
                <w:bCs/>
                <w:color w:val="000000"/>
                <w:szCs w:val="21"/>
              </w:rPr>
            </w:pPr>
          </w:p>
        </w:tc>
        <w:tc>
          <w:tcPr>
            <w:tcW w:w="2793" w:type="dxa"/>
            <w:vMerge w:val="continue"/>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jc w:val="center"/>
              <w:rPr>
                <w:rFonts w:ascii="仿宋" w:hAnsi="仿宋" w:eastAsia="仿宋" w:cs="仿宋"/>
                <w:b/>
                <w:bCs/>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jc w:val="center"/>
              <w:rPr>
                <w:rFonts w:ascii="仿宋" w:hAnsi="仿宋" w:eastAsia="仿宋" w:cs="仿宋"/>
                <w:b/>
                <w:bCs/>
                <w:color w:val="000000"/>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kern w:val="0"/>
                <w:szCs w:val="21"/>
                <w:lang w:bidi="ar"/>
              </w:rPr>
            </w:pPr>
            <w:r>
              <w:rPr>
                <w:rFonts w:hint="eastAsia" w:ascii="仿宋" w:hAnsi="仿宋" w:eastAsia="仿宋" w:cs="仿宋"/>
                <w:b/>
                <w:bCs/>
                <w:color w:val="000000"/>
                <w:kern w:val="0"/>
                <w:szCs w:val="21"/>
                <w:lang w:bidi="ar"/>
              </w:rPr>
              <w:t>2023年</w:t>
            </w:r>
          </w:p>
        </w:tc>
        <w:tc>
          <w:tcPr>
            <w:tcW w:w="0" w:type="auto"/>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2024年</w:t>
            </w:r>
          </w:p>
        </w:tc>
        <w:tc>
          <w:tcPr>
            <w:tcW w:w="0" w:type="auto"/>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2025年</w:t>
            </w:r>
          </w:p>
        </w:tc>
      </w:tr>
      <w:tr>
        <w:tblPrEx>
          <w:tblCellMar>
            <w:top w:w="15" w:type="dxa"/>
            <w:left w:w="15" w:type="dxa"/>
            <w:bottom w:w="15" w:type="dxa"/>
            <w:right w:w="15" w:type="dxa"/>
          </w:tblCellMar>
        </w:tblPrEx>
        <w:trPr>
          <w:trHeight w:val="450" w:hRule="atLeast"/>
          <w:jc w:val="center"/>
        </w:trPr>
        <w:tc>
          <w:tcPr>
            <w:tcW w:w="1139"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Cs w:val="21"/>
              </w:rPr>
            </w:pPr>
            <w:r>
              <w:rPr>
                <w:rFonts w:hint="eastAsia" w:ascii="仿宋" w:hAnsi="仿宋" w:eastAsia="仿宋" w:cs="仿宋"/>
                <w:b/>
                <w:bCs/>
                <w:color w:val="000000"/>
                <w:szCs w:val="21"/>
              </w:rPr>
              <w:t>图书馆建设提升工程</w:t>
            </w:r>
          </w:p>
        </w:tc>
        <w:tc>
          <w:tcPr>
            <w:tcW w:w="2793"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仿宋"/>
                <w:color w:val="000000"/>
                <w:szCs w:val="21"/>
              </w:rPr>
            </w:pPr>
            <w:r>
              <w:rPr>
                <w:rFonts w:hint="eastAsia" w:ascii="仿宋" w:hAnsi="仿宋" w:eastAsia="仿宋" w:cs="仿宋"/>
                <w:color w:val="000000"/>
                <w:szCs w:val="21"/>
              </w:rPr>
              <w:t>以全校师生为本，以文献信息资源建设、开发、利用为重点，以管理创新、服务创新为中心，以队伍建设为关键，建立健全与我校的教学、科研和学科建设发展相适应的文献资源保障系统和读者服务保障系统。</w:t>
            </w:r>
          </w:p>
        </w:tc>
        <w:tc>
          <w:tcPr>
            <w:tcW w:w="2054"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仿宋"/>
                <w:color w:val="000000"/>
                <w:szCs w:val="21"/>
              </w:rPr>
            </w:pPr>
            <w:r>
              <w:rPr>
                <w:rFonts w:hint="eastAsia" w:ascii="仿宋" w:hAnsi="仿宋" w:eastAsia="仿宋" w:cs="仿宋"/>
                <w:color w:val="000000"/>
                <w:szCs w:val="21"/>
              </w:rPr>
              <w:t>到2025年，使我校图书馆文献资源达到教育部《全国高职高专院校图书馆评价指标体系》（试行）的合格要求，生均图书超过60册，力争赶上省内同类高校图书馆的平均发展水平。</w:t>
            </w:r>
          </w:p>
        </w:tc>
        <w:tc>
          <w:tcPr>
            <w:tcW w:w="78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Cs w:val="21"/>
              </w:rPr>
            </w:pPr>
            <w:r>
              <w:rPr>
                <w:rFonts w:hint="eastAsia" w:ascii="仿宋" w:hAnsi="仿宋" w:eastAsia="仿宋" w:cs="仿宋"/>
                <w:color w:val="000000"/>
                <w:szCs w:val="21"/>
              </w:rPr>
              <w:t>100</w:t>
            </w:r>
          </w:p>
        </w:tc>
        <w:tc>
          <w:tcPr>
            <w:tcW w:w="78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Cs w:val="21"/>
              </w:rPr>
            </w:pPr>
            <w:r>
              <w:rPr>
                <w:rFonts w:hint="eastAsia" w:ascii="仿宋" w:hAnsi="仿宋" w:eastAsia="仿宋" w:cs="仿宋"/>
                <w:color w:val="000000"/>
                <w:szCs w:val="21"/>
              </w:rPr>
              <w:t>600</w:t>
            </w:r>
          </w:p>
        </w:tc>
        <w:tc>
          <w:tcPr>
            <w:tcW w:w="784"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Cs w:val="21"/>
              </w:rPr>
            </w:pPr>
            <w:r>
              <w:rPr>
                <w:rFonts w:hint="eastAsia" w:ascii="仿宋" w:hAnsi="仿宋" w:eastAsia="仿宋" w:cs="仿宋"/>
                <w:color w:val="000000"/>
                <w:szCs w:val="21"/>
              </w:rPr>
              <w:t>200</w:t>
            </w:r>
          </w:p>
        </w:tc>
      </w:tr>
    </w:tbl>
    <w:p/>
    <w:p>
      <w:pPr>
        <w:pStyle w:val="3"/>
        <w:ind w:firstLine="643"/>
      </w:pPr>
      <w:bookmarkStart w:id="41" w:name="_Toc164347837"/>
      <w:r>
        <w:rPr>
          <w:rFonts w:hint="eastAsia"/>
        </w:rPr>
        <w:t>（三）教学质量与教学改革项目</w:t>
      </w:r>
      <w:bookmarkEnd w:id="41"/>
    </w:p>
    <w:p>
      <w:pPr>
        <w:pStyle w:val="4"/>
      </w:pPr>
      <w:bookmarkStart w:id="42" w:name="_Toc164347838"/>
      <w:r>
        <w:rPr>
          <w:rFonts w:hint="eastAsia"/>
        </w:rPr>
        <w:t>1.办学定位与专业设置适应度提升项目</w:t>
      </w:r>
      <w:bookmarkEnd w:id="42"/>
    </w:p>
    <w:p>
      <w:pPr>
        <w:keepNext/>
        <w:keepLines/>
        <w:spacing w:line="540" w:lineRule="exact"/>
        <w:ind w:firstLine="562" w:firstLineChars="200"/>
        <w:outlineLvl w:val="3"/>
        <w:rPr>
          <w:rFonts w:ascii="Times New Roman" w:hAnsi="Times New Roman" w:eastAsia="仿宋"/>
          <w:b/>
          <w:sz w:val="28"/>
          <w:szCs w:val="28"/>
        </w:rPr>
      </w:pPr>
      <w:r>
        <w:rPr>
          <w:rFonts w:hint="eastAsia" w:ascii="Times New Roman" w:hAnsi="Times New Roman" w:eastAsia="仿宋"/>
          <w:b/>
          <w:sz w:val="28"/>
          <w:szCs w:val="28"/>
        </w:rPr>
        <w:t>（1）必要性和可行性</w:t>
      </w:r>
    </w:p>
    <w:p>
      <w:pPr>
        <w:spacing w:line="540" w:lineRule="exact"/>
        <w:ind w:firstLine="560" w:firstLineChars="200"/>
        <w:rPr>
          <w:rFonts w:ascii="仿宋" w:hAnsi="仿宋" w:eastAsia="仿宋"/>
          <w:sz w:val="28"/>
          <w:szCs w:val="28"/>
        </w:rPr>
      </w:pPr>
      <w:r>
        <w:rPr>
          <w:rFonts w:hint="eastAsia" w:ascii="仿宋" w:hAnsi="仿宋" w:eastAsia="仿宋"/>
          <w:sz w:val="28"/>
          <w:szCs w:val="28"/>
        </w:rPr>
        <w:t>高职院校主要培养区域经济社会发展所需要的应用型、技术技能型人才。地方高职院校在办学方向定位上，要突出地方导向，要始终坚持以地方或区域经济建设和社会发展为主的服务方向，在人才培养层次、学科建设、专业设置等方面提高针对性、增强适应性，积极为地方的政治、经济和文化服务，实现学校与地方的双向互动，处理好自身发展与地方发展的关系。</w:t>
      </w:r>
    </w:p>
    <w:p>
      <w:pPr>
        <w:spacing w:line="540" w:lineRule="exact"/>
        <w:ind w:firstLine="560" w:firstLineChars="200"/>
        <w:rPr>
          <w:rFonts w:ascii="仿宋" w:hAnsi="仿宋" w:eastAsia="仿宋"/>
          <w:sz w:val="28"/>
          <w:szCs w:val="28"/>
        </w:rPr>
      </w:pPr>
      <w:r>
        <w:rPr>
          <w:rFonts w:hint="eastAsia" w:ascii="仿宋" w:hAnsi="仿宋" w:eastAsia="仿宋"/>
          <w:sz w:val="28"/>
          <w:szCs w:val="28"/>
        </w:rPr>
        <w:t>学校作为地方公办高职院校，要坚持以新工科为主体，新农科、新商科相协调的办学定位，需要明确专业设置和建设方面的定位，坚持以就业为导向，以国家产业政策为依据，与区域经济社会发展相适应的专业设置原则，不断提升学校办学适应性。</w:t>
      </w:r>
    </w:p>
    <w:p>
      <w:pPr>
        <w:keepNext/>
        <w:keepLines/>
        <w:spacing w:line="540" w:lineRule="exact"/>
        <w:ind w:firstLine="562" w:firstLineChars="200"/>
        <w:outlineLvl w:val="3"/>
        <w:rPr>
          <w:rFonts w:ascii="Times New Roman" w:hAnsi="Times New Roman" w:eastAsia="仿宋"/>
          <w:b/>
          <w:sz w:val="28"/>
          <w:szCs w:val="28"/>
        </w:rPr>
      </w:pPr>
      <w:r>
        <w:rPr>
          <w:rFonts w:hint="eastAsia" w:ascii="Times New Roman" w:hAnsi="Times New Roman" w:eastAsia="仿宋"/>
          <w:b/>
          <w:sz w:val="28"/>
          <w:szCs w:val="28"/>
        </w:rPr>
        <w:t>（2）拟解决的关键问题</w:t>
      </w:r>
    </w:p>
    <w:p>
      <w:pPr>
        <w:spacing w:line="540" w:lineRule="exact"/>
        <w:ind w:firstLine="560" w:firstLineChars="200"/>
        <w:rPr>
          <w:rFonts w:ascii="仿宋" w:hAnsi="仿宋" w:eastAsia="仿宋"/>
          <w:sz w:val="28"/>
          <w:szCs w:val="28"/>
        </w:rPr>
      </w:pPr>
      <w:r>
        <w:rPr>
          <w:rFonts w:hint="eastAsia" w:ascii="仿宋" w:hAnsi="仿宋" w:eastAsia="仿宋"/>
          <w:sz w:val="28"/>
          <w:szCs w:val="28"/>
        </w:rPr>
        <w:t>学校坚持两个面向的服务格局，积极探索符合学校发展道路的湾区特色办学模式，有助于加快学校建设国内一流高水平高职院校。</w:t>
      </w:r>
      <w:r>
        <w:rPr>
          <w:rFonts w:ascii="仿宋" w:hAnsi="仿宋" w:eastAsia="仿宋"/>
          <w:sz w:val="28"/>
          <w:szCs w:val="28"/>
        </w:rPr>
        <w:t>依据地方智能制造产业</w:t>
      </w:r>
      <w:r>
        <w:rPr>
          <w:rFonts w:hint="eastAsia" w:ascii="仿宋" w:hAnsi="仿宋" w:eastAsia="仿宋"/>
          <w:sz w:val="28"/>
          <w:szCs w:val="28"/>
        </w:rPr>
        <w:t>和乡村振兴产业</w:t>
      </w:r>
      <w:r>
        <w:rPr>
          <w:rFonts w:ascii="仿宋" w:hAnsi="仿宋" w:eastAsia="仿宋"/>
          <w:sz w:val="28"/>
          <w:szCs w:val="28"/>
        </w:rPr>
        <w:t>发展与人才需求，建立先进制造业</w:t>
      </w:r>
      <w:r>
        <w:rPr>
          <w:rFonts w:hint="eastAsia" w:ascii="仿宋" w:hAnsi="仿宋" w:eastAsia="仿宋"/>
          <w:sz w:val="28"/>
          <w:szCs w:val="28"/>
        </w:rPr>
        <w:t>和农类专业</w:t>
      </w:r>
      <w:r>
        <w:rPr>
          <w:rFonts w:ascii="仿宋" w:hAnsi="仿宋" w:eastAsia="仿宋"/>
          <w:sz w:val="28"/>
          <w:szCs w:val="28"/>
        </w:rPr>
        <w:t>人才培养的协同机制；</w:t>
      </w:r>
      <w:r>
        <w:rPr>
          <w:rFonts w:hint="eastAsia" w:ascii="仿宋" w:hAnsi="仿宋" w:eastAsia="仿宋"/>
          <w:sz w:val="28"/>
          <w:szCs w:val="28"/>
        </w:rPr>
        <w:t>升级人才培养规格，动态调整</w:t>
      </w:r>
      <w:r>
        <w:rPr>
          <w:rFonts w:ascii="仿宋" w:hAnsi="仿宋" w:eastAsia="仿宋"/>
          <w:sz w:val="28"/>
          <w:szCs w:val="28"/>
        </w:rPr>
        <w:t>专业与产业的</w:t>
      </w:r>
      <w:r>
        <w:rPr>
          <w:rFonts w:hint="eastAsia" w:ascii="仿宋" w:hAnsi="仿宋" w:eastAsia="仿宋"/>
          <w:sz w:val="28"/>
          <w:szCs w:val="28"/>
        </w:rPr>
        <w:t>结合，确保</w:t>
      </w:r>
      <w:r>
        <w:rPr>
          <w:rFonts w:ascii="仿宋" w:hAnsi="仿宋" w:eastAsia="仿宋"/>
          <w:sz w:val="28"/>
          <w:szCs w:val="28"/>
        </w:rPr>
        <w:t>人才培养质量的实时反馈</w:t>
      </w:r>
      <w:r>
        <w:rPr>
          <w:rFonts w:hint="eastAsia" w:ascii="仿宋" w:hAnsi="仿宋" w:eastAsia="仿宋"/>
          <w:sz w:val="28"/>
          <w:szCs w:val="28"/>
        </w:rPr>
        <w:t>，加强</w:t>
      </w:r>
      <w:r>
        <w:rPr>
          <w:rFonts w:ascii="仿宋" w:hAnsi="仿宋" w:eastAsia="仿宋"/>
          <w:sz w:val="28"/>
          <w:szCs w:val="28"/>
        </w:rPr>
        <w:t>专业群建设的有效运行。</w:t>
      </w:r>
    </w:p>
    <w:p>
      <w:pPr>
        <w:keepNext/>
        <w:keepLines/>
        <w:spacing w:line="540" w:lineRule="exact"/>
        <w:ind w:firstLine="562" w:firstLineChars="200"/>
        <w:outlineLvl w:val="3"/>
        <w:rPr>
          <w:rFonts w:ascii="Times New Roman" w:hAnsi="Times New Roman" w:eastAsia="仿宋"/>
          <w:b/>
          <w:sz w:val="28"/>
          <w:szCs w:val="28"/>
        </w:rPr>
      </w:pPr>
      <w:r>
        <w:rPr>
          <w:rFonts w:hint="eastAsia" w:ascii="Times New Roman" w:hAnsi="Times New Roman" w:eastAsia="仿宋"/>
          <w:b/>
          <w:sz w:val="28"/>
          <w:szCs w:val="28"/>
        </w:rPr>
        <w:t>（3）建设目标</w:t>
      </w:r>
    </w:p>
    <w:p>
      <w:pPr>
        <w:spacing w:line="540" w:lineRule="exact"/>
        <w:ind w:firstLine="560" w:firstLineChars="200"/>
        <w:rPr>
          <w:rFonts w:ascii="仿宋" w:hAnsi="仿宋" w:eastAsia="仿宋"/>
          <w:sz w:val="28"/>
          <w:szCs w:val="28"/>
        </w:rPr>
      </w:pPr>
      <w:r>
        <w:rPr>
          <w:rFonts w:hint="eastAsia" w:ascii="仿宋" w:hAnsi="仿宋" w:eastAsia="仿宋"/>
          <w:sz w:val="28"/>
          <w:szCs w:val="28"/>
        </w:rPr>
        <w:t>以习近平新时代中国特色社会主义思想为指导，贯彻落实党的教育方针，坚持党建引领，坚持“科技赋能、工科引领、农商协同”的内涵式高质量发展战略，走改革发展道路，支撑惠州打造国内一流城市和经济社会高质量发展，助力粤港澳大湾区及粤东区域产业转型升级，致力培养产业急需、匠心慧能的复合型高技术技能人才，打造新工科优势突出的国内一流高水平高职院校。</w:t>
      </w:r>
    </w:p>
    <w:p>
      <w:pPr>
        <w:keepNext/>
        <w:keepLines/>
        <w:spacing w:line="540" w:lineRule="exact"/>
        <w:ind w:firstLine="562" w:firstLineChars="200"/>
        <w:outlineLvl w:val="3"/>
        <w:rPr>
          <w:rFonts w:ascii="Times New Roman" w:hAnsi="Times New Roman" w:eastAsia="仿宋"/>
          <w:b/>
          <w:sz w:val="28"/>
          <w:szCs w:val="28"/>
        </w:rPr>
      </w:pPr>
      <w:r>
        <w:rPr>
          <w:rFonts w:hint="eastAsia" w:ascii="Times New Roman" w:hAnsi="Times New Roman" w:eastAsia="仿宋"/>
          <w:b/>
          <w:sz w:val="28"/>
          <w:szCs w:val="28"/>
        </w:rPr>
        <w:t>（4）重点建设任务</w:t>
      </w:r>
    </w:p>
    <w:p>
      <w:pPr>
        <w:spacing w:line="540" w:lineRule="exact"/>
        <w:ind w:firstLine="562" w:firstLineChars="200"/>
        <w:rPr>
          <w:rFonts w:ascii="仿宋" w:hAnsi="仿宋" w:eastAsia="仿宋"/>
          <w:b/>
          <w:bCs/>
          <w:sz w:val="28"/>
          <w:szCs w:val="28"/>
        </w:rPr>
      </w:pPr>
      <w:r>
        <w:rPr>
          <w:rFonts w:hint="eastAsia" w:ascii="仿宋" w:hAnsi="仿宋" w:eastAsia="仿宋"/>
          <w:b/>
          <w:bCs/>
          <w:sz w:val="28"/>
          <w:szCs w:val="28"/>
        </w:rPr>
        <w:t>① 服务高端制造和产业高端</w:t>
      </w:r>
    </w:p>
    <w:p>
      <w:pPr>
        <w:spacing w:line="540" w:lineRule="exact"/>
        <w:ind w:firstLine="560" w:firstLineChars="200"/>
        <w:rPr>
          <w:rFonts w:ascii="仿宋" w:hAnsi="仿宋" w:eastAsia="仿宋"/>
          <w:sz w:val="28"/>
          <w:szCs w:val="28"/>
        </w:rPr>
      </w:pPr>
      <w:r>
        <w:rPr>
          <w:rFonts w:hint="eastAsia" w:ascii="仿宋" w:hAnsi="仿宋" w:eastAsia="仿宋"/>
          <w:sz w:val="28"/>
          <w:szCs w:val="28"/>
        </w:rPr>
        <w:t>粤港澳大湾区产业结构存在高端化不足，制造业发展不平衡加剧，生产服务业发展滞后等问题，急需对传统产业改造升级，加快发展先进制造业和现代服务业，培育若干世界级产业集群。学校累积多年理工科专业办学经验，构建动态的专业调整机制，对接粤港澳大湾区高端产业和产业高端人才需求，建设应用电子技术、机械制造与自动化等</w:t>
      </w:r>
      <w:r>
        <w:rPr>
          <w:rFonts w:ascii="仿宋" w:hAnsi="仿宋" w:eastAsia="仿宋"/>
          <w:sz w:val="28"/>
          <w:szCs w:val="28"/>
        </w:rPr>
        <w:t>2</w:t>
      </w:r>
      <w:r>
        <w:rPr>
          <w:rFonts w:hint="eastAsia" w:ascii="仿宋" w:hAnsi="仿宋" w:eastAsia="仿宋"/>
          <w:sz w:val="28"/>
          <w:szCs w:val="28"/>
        </w:rPr>
        <w:t>3</w:t>
      </w:r>
      <w:r>
        <w:rPr>
          <w:rFonts w:ascii="仿宋" w:hAnsi="仿宋" w:eastAsia="仿宋"/>
          <w:sz w:val="28"/>
          <w:szCs w:val="28"/>
        </w:rPr>
        <w:t>个专业，与区域产业符合度达到100%。并按“专业基础相通、技术领域相近、工作岗位相关、教学资源共享”原则，先后构建了应用电子技术专业群、商务数据分析与应用两个省</w:t>
      </w:r>
      <w:r>
        <w:rPr>
          <w:rFonts w:hint="eastAsia" w:ascii="仿宋" w:hAnsi="仿宋" w:eastAsia="仿宋"/>
          <w:sz w:val="28"/>
          <w:szCs w:val="28"/>
        </w:rPr>
        <w:t>级高水平专业群，机械制造与自动化校级专业群，聚焦粤港澳大湾区产业数字化转型升级。</w:t>
      </w:r>
    </w:p>
    <w:p>
      <w:pPr>
        <w:spacing w:line="540" w:lineRule="exact"/>
        <w:ind w:firstLine="562" w:firstLineChars="200"/>
        <w:rPr>
          <w:rFonts w:ascii="仿宋" w:hAnsi="仿宋" w:eastAsia="仿宋"/>
          <w:b/>
          <w:bCs/>
          <w:sz w:val="28"/>
          <w:szCs w:val="28"/>
        </w:rPr>
      </w:pPr>
      <w:r>
        <w:rPr>
          <w:rFonts w:hint="eastAsia" w:ascii="仿宋" w:hAnsi="仿宋" w:eastAsia="仿宋"/>
          <w:b/>
          <w:bCs/>
          <w:sz w:val="28"/>
          <w:szCs w:val="28"/>
        </w:rPr>
        <w:t>② 服务乡村振兴</w:t>
      </w:r>
    </w:p>
    <w:p>
      <w:pPr>
        <w:spacing w:line="540" w:lineRule="exact"/>
        <w:ind w:firstLine="560" w:firstLineChars="200"/>
        <w:rPr>
          <w:rFonts w:ascii="仿宋" w:hAnsi="仿宋" w:eastAsia="仿宋"/>
          <w:sz w:val="28"/>
          <w:szCs w:val="28"/>
        </w:rPr>
      </w:pPr>
      <w:r>
        <w:rPr>
          <w:rFonts w:hint="eastAsia" w:ascii="仿宋" w:hAnsi="仿宋" w:eastAsia="仿宋"/>
          <w:sz w:val="28"/>
          <w:szCs w:val="28"/>
        </w:rPr>
        <w:t>广东省“十四五”发展规划纲要，聚焦广东</w:t>
      </w:r>
      <w:r>
        <w:rPr>
          <w:rFonts w:ascii="仿宋" w:hAnsi="仿宋" w:eastAsia="仿宋"/>
          <w:sz w:val="28"/>
          <w:szCs w:val="28"/>
        </w:rPr>
        <w:t>1+1+9工作部署，学校农类办学经验丰富，在服务广东发展精细农业，建设精美农村和培育精勤农民方面有独有优势。对接广东乡村振兴人才需求，学校在构建服务乡村振兴人才培育体系方面开展了各项试点改革工作：积极开设相关专业，大力培养乡村建设所需高素质专业人才；充分挖潜学校教育培训资源，积极搭建高素质农民教育培训平台，大力开设新型职业农民培训课程，开展各项高素质农业经理人培训；积极组建农村科技特派员团队，开展各项科技下乡活动。学校也正在面向三农，全力打造</w:t>
      </w:r>
      <w:r>
        <w:rPr>
          <w:rFonts w:hint="eastAsia" w:ascii="仿宋" w:hAnsi="仿宋" w:eastAsia="仿宋"/>
          <w:sz w:val="28"/>
          <w:szCs w:val="28"/>
        </w:rPr>
        <w:t>园林技术专业群，服务乡村振兴。</w:t>
      </w:r>
    </w:p>
    <w:p>
      <w:pPr>
        <w:spacing w:line="540" w:lineRule="exact"/>
        <w:ind w:firstLine="562" w:firstLineChars="200"/>
        <w:rPr>
          <w:rFonts w:ascii="仿宋" w:hAnsi="仿宋" w:eastAsia="仿宋"/>
          <w:b/>
          <w:bCs/>
          <w:sz w:val="28"/>
          <w:szCs w:val="28"/>
        </w:rPr>
      </w:pPr>
      <w:r>
        <w:rPr>
          <w:rFonts w:hint="eastAsia" w:ascii="仿宋" w:hAnsi="仿宋" w:eastAsia="仿宋"/>
          <w:b/>
          <w:bCs/>
          <w:sz w:val="28"/>
          <w:szCs w:val="28"/>
        </w:rPr>
        <w:t xml:space="preserve">③ </w:t>
      </w:r>
      <w:r>
        <w:rPr>
          <w:rFonts w:ascii="仿宋" w:hAnsi="仿宋" w:eastAsia="仿宋"/>
          <w:b/>
          <w:bCs/>
          <w:sz w:val="28"/>
          <w:szCs w:val="28"/>
        </w:rPr>
        <w:t>升级人才培养规格</w:t>
      </w:r>
    </w:p>
    <w:p>
      <w:pPr>
        <w:spacing w:line="540" w:lineRule="exact"/>
        <w:ind w:firstLine="560" w:firstLineChars="200"/>
        <w:rPr>
          <w:rFonts w:ascii="仿宋" w:hAnsi="仿宋" w:eastAsia="仿宋"/>
          <w:sz w:val="28"/>
          <w:szCs w:val="28"/>
        </w:rPr>
      </w:pPr>
      <w:r>
        <w:rPr>
          <w:rFonts w:ascii="仿宋" w:hAnsi="仿宋" w:eastAsia="仿宋"/>
          <w:sz w:val="28"/>
          <w:szCs w:val="28"/>
        </w:rPr>
        <w:t>以培养“双高三型”卓越技术技能人才为目标，聚焦</w:t>
      </w:r>
      <w:r>
        <w:rPr>
          <w:rFonts w:hint="eastAsia" w:ascii="仿宋" w:hAnsi="仿宋" w:eastAsia="仿宋"/>
          <w:sz w:val="28"/>
          <w:szCs w:val="28"/>
        </w:rPr>
        <w:t>电子信息</w:t>
      </w:r>
      <w:r>
        <w:rPr>
          <w:rFonts w:ascii="仿宋" w:hAnsi="仿宋" w:eastAsia="仿宋"/>
          <w:sz w:val="28"/>
          <w:szCs w:val="28"/>
        </w:rPr>
        <w:t>产业绿色、安全、智能化发展趋势、区域化工产业提质增效和结构转型，融合智能、安全、环保、质量、标准，升级改造</w:t>
      </w:r>
      <w:r>
        <w:rPr>
          <w:rFonts w:hint="eastAsia" w:ascii="仿宋" w:hAnsi="仿宋" w:eastAsia="仿宋"/>
          <w:sz w:val="28"/>
          <w:szCs w:val="28"/>
        </w:rPr>
        <w:t>电子信息产业</w:t>
      </w:r>
      <w:r>
        <w:rPr>
          <w:rFonts w:ascii="仿宋" w:hAnsi="仿宋" w:eastAsia="仿宋"/>
          <w:sz w:val="28"/>
          <w:szCs w:val="28"/>
        </w:rPr>
        <w:t>人才培养规格，培养</w:t>
      </w:r>
      <w:r>
        <w:rPr>
          <w:rFonts w:hint="eastAsia" w:ascii="仿宋" w:hAnsi="仿宋" w:eastAsia="仿宋"/>
          <w:sz w:val="28"/>
          <w:szCs w:val="28"/>
        </w:rPr>
        <w:t>数字化、智能化、高素质</w:t>
      </w:r>
      <w:r>
        <w:rPr>
          <w:rFonts w:ascii="仿宋" w:hAnsi="仿宋" w:eastAsia="仿宋"/>
          <w:sz w:val="28"/>
          <w:szCs w:val="28"/>
        </w:rPr>
        <w:t>技术技能人才，为国家</w:t>
      </w:r>
      <w:r>
        <w:rPr>
          <w:rFonts w:hint="eastAsia" w:ascii="仿宋" w:hAnsi="仿宋" w:eastAsia="仿宋"/>
          <w:sz w:val="28"/>
          <w:szCs w:val="28"/>
        </w:rPr>
        <w:t>人工智能</w:t>
      </w:r>
      <w:r>
        <w:rPr>
          <w:rFonts w:ascii="仿宋" w:hAnsi="仿宋" w:eastAsia="仿宋"/>
          <w:sz w:val="28"/>
          <w:szCs w:val="28"/>
        </w:rPr>
        <w:t>、新能源</w:t>
      </w:r>
      <w:r>
        <w:rPr>
          <w:rFonts w:hint="eastAsia" w:ascii="仿宋" w:hAnsi="仿宋" w:eastAsia="仿宋"/>
          <w:sz w:val="28"/>
          <w:szCs w:val="28"/>
        </w:rPr>
        <w:t>、5</w:t>
      </w:r>
      <w:r>
        <w:rPr>
          <w:rFonts w:ascii="仿宋" w:hAnsi="仿宋" w:eastAsia="仿宋"/>
          <w:sz w:val="28"/>
          <w:szCs w:val="28"/>
        </w:rPr>
        <w:t>G</w:t>
      </w:r>
      <w:r>
        <w:rPr>
          <w:rFonts w:hint="eastAsia" w:ascii="仿宋" w:hAnsi="仿宋" w:eastAsia="仿宋"/>
          <w:sz w:val="28"/>
          <w:szCs w:val="28"/>
        </w:rPr>
        <w:t>互联网</w:t>
      </w:r>
      <w:r>
        <w:rPr>
          <w:rFonts w:ascii="仿宋" w:hAnsi="仿宋" w:eastAsia="仿宋"/>
          <w:sz w:val="28"/>
          <w:szCs w:val="28"/>
        </w:rPr>
        <w:t>等新兴产业和</w:t>
      </w:r>
      <w:r>
        <w:rPr>
          <w:rFonts w:hint="eastAsia" w:ascii="仿宋" w:hAnsi="仿宋" w:eastAsia="仿宋"/>
          <w:sz w:val="28"/>
          <w:szCs w:val="28"/>
        </w:rPr>
        <w:t>三农产业</w:t>
      </w:r>
      <w:r>
        <w:rPr>
          <w:rFonts w:ascii="仿宋" w:hAnsi="仿宋" w:eastAsia="仿宋"/>
          <w:sz w:val="28"/>
          <w:szCs w:val="28"/>
        </w:rPr>
        <w:t>发展提供人才支撑。聚焦装备制造业和现代</w:t>
      </w:r>
      <w:r>
        <w:rPr>
          <w:rFonts w:hint="eastAsia" w:ascii="仿宋" w:hAnsi="仿宋" w:eastAsia="仿宋"/>
          <w:sz w:val="28"/>
          <w:szCs w:val="28"/>
        </w:rPr>
        <w:t>商贸</w:t>
      </w:r>
      <w:r>
        <w:rPr>
          <w:rFonts w:ascii="仿宋" w:hAnsi="仿宋" w:eastAsia="仿宋"/>
          <w:sz w:val="28"/>
          <w:szCs w:val="28"/>
        </w:rPr>
        <w:t>产业数字化、信息化、智能化趋势，适应工业机器人、多轴精密加工技术、数字化建造等新技术，升级专业群人才培养规格，培养</w:t>
      </w:r>
      <w:r>
        <w:rPr>
          <w:rFonts w:hint="eastAsia" w:ascii="仿宋" w:hAnsi="仿宋" w:eastAsia="仿宋"/>
          <w:sz w:val="28"/>
          <w:szCs w:val="28"/>
        </w:rPr>
        <w:t>新一代电子信息产业的</w:t>
      </w:r>
      <w:r>
        <w:rPr>
          <w:rFonts w:ascii="仿宋" w:hAnsi="仿宋" w:eastAsia="仿宋"/>
          <w:sz w:val="28"/>
          <w:szCs w:val="28"/>
        </w:rPr>
        <w:t>高端技术技能人才，为高端智能制造、数字化建造等产业高端发展提供技术技能人才支撑</w:t>
      </w:r>
      <w:r>
        <w:rPr>
          <w:rFonts w:hint="eastAsia" w:ascii="仿宋" w:hAnsi="仿宋" w:eastAsia="仿宋"/>
          <w:sz w:val="28"/>
          <w:szCs w:val="28"/>
        </w:rPr>
        <w:t>。</w:t>
      </w:r>
    </w:p>
    <w:p>
      <w:pPr>
        <w:spacing w:line="540" w:lineRule="exact"/>
        <w:ind w:firstLine="562" w:firstLineChars="200"/>
        <w:rPr>
          <w:rFonts w:ascii="仿宋" w:hAnsi="仿宋" w:eastAsia="仿宋"/>
          <w:b/>
          <w:bCs/>
          <w:sz w:val="28"/>
          <w:szCs w:val="28"/>
        </w:rPr>
      </w:pPr>
      <w:r>
        <w:rPr>
          <w:rFonts w:hint="eastAsia" w:ascii="仿宋" w:hAnsi="仿宋" w:eastAsia="仿宋"/>
          <w:b/>
          <w:bCs/>
          <w:sz w:val="28"/>
          <w:szCs w:val="28"/>
        </w:rPr>
        <w:t xml:space="preserve">④ </w:t>
      </w:r>
      <w:r>
        <w:rPr>
          <w:rFonts w:ascii="仿宋" w:hAnsi="仿宋" w:eastAsia="仿宋"/>
          <w:b/>
          <w:bCs/>
          <w:sz w:val="28"/>
          <w:szCs w:val="28"/>
        </w:rPr>
        <w:t xml:space="preserve">完善专业群建设发展机制 </w:t>
      </w:r>
    </w:p>
    <w:p>
      <w:pPr>
        <w:spacing w:line="540" w:lineRule="exact"/>
        <w:ind w:firstLine="560" w:firstLineChars="200"/>
        <w:rPr>
          <w:rFonts w:ascii="仿宋" w:hAnsi="仿宋" w:eastAsia="仿宋"/>
          <w:sz w:val="28"/>
          <w:szCs w:val="28"/>
        </w:rPr>
      </w:pPr>
      <w:r>
        <w:rPr>
          <w:rFonts w:ascii="仿宋" w:hAnsi="仿宋" w:eastAsia="仿宋"/>
          <w:sz w:val="28"/>
          <w:szCs w:val="28"/>
        </w:rPr>
        <w:t xml:space="preserve">建立基于大数据的专业群年度评估机制，从支撑产业发展、培养模式、保障条件、人才培养质量、社会服务等方面设计、调整完善量化评估指标。优化专业群数据常态化采集体系，实现专业群评估指标数据的实时采集和动态更新。设计开发专业评估数据的统计分析系统，快速、高效地呈现出评估结果，并能客观、科学、系统地对结果进行分析。在学校的质量年报中增加专业群板块，定期向社会公布专业群评估结果，接受社会监督。 </w:t>
      </w:r>
    </w:p>
    <w:p>
      <w:pPr>
        <w:spacing w:line="540" w:lineRule="exact"/>
        <w:ind w:firstLine="562" w:firstLineChars="200"/>
        <w:rPr>
          <w:rFonts w:ascii="仿宋" w:hAnsi="仿宋" w:eastAsia="仿宋"/>
          <w:b/>
          <w:bCs/>
          <w:sz w:val="28"/>
          <w:szCs w:val="28"/>
        </w:rPr>
      </w:pPr>
      <w:r>
        <w:rPr>
          <w:rFonts w:hint="eastAsia" w:ascii="仿宋" w:hAnsi="仿宋" w:eastAsia="仿宋"/>
          <w:b/>
          <w:bCs/>
          <w:sz w:val="28"/>
          <w:szCs w:val="28"/>
        </w:rPr>
        <w:t>⑤ 优化</w:t>
      </w:r>
      <w:r>
        <w:rPr>
          <w:rFonts w:ascii="仿宋" w:hAnsi="仿宋" w:eastAsia="仿宋"/>
          <w:b/>
          <w:bCs/>
          <w:sz w:val="28"/>
          <w:szCs w:val="28"/>
        </w:rPr>
        <w:t>专业预警和动态调整机制</w:t>
      </w:r>
    </w:p>
    <w:p>
      <w:pPr>
        <w:spacing w:line="540" w:lineRule="exact"/>
        <w:ind w:firstLine="560" w:firstLineChars="200"/>
        <w:rPr>
          <w:rFonts w:ascii="仿宋" w:hAnsi="仿宋" w:eastAsia="仿宋"/>
          <w:sz w:val="28"/>
          <w:szCs w:val="28"/>
        </w:rPr>
      </w:pPr>
      <w:r>
        <w:rPr>
          <w:rFonts w:ascii="仿宋" w:hAnsi="仿宋" w:eastAsia="仿宋"/>
          <w:sz w:val="28"/>
          <w:szCs w:val="28"/>
        </w:rPr>
        <w:t>根据评估结果、专业调研等，建立专业预警机制、停招专业教师的转岗与培训机制等，对不符合产业需求、教学质量不高的专业不断减少招生规模直至停招。完善学校新专业设置管理办法，明确专业群中新专业的设置原则、基本条件，规范申请流程，建立新增专业年度评估制度，督促和改进新专业建设。</w:t>
      </w:r>
    </w:p>
    <w:p>
      <w:pPr>
        <w:keepNext/>
        <w:keepLines/>
        <w:spacing w:line="540" w:lineRule="exact"/>
        <w:ind w:firstLine="562" w:firstLineChars="200"/>
        <w:outlineLvl w:val="3"/>
        <w:rPr>
          <w:rFonts w:ascii="Times New Roman" w:hAnsi="Times New Roman" w:eastAsia="仿宋"/>
          <w:b/>
          <w:sz w:val="28"/>
          <w:szCs w:val="28"/>
        </w:rPr>
      </w:pPr>
      <w:r>
        <w:rPr>
          <w:rFonts w:hint="eastAsia" w:ascii="Times New Roman" w:hAnsi="Times New Roman" w:eastAsia="仿宋"/>
          <w:b/>
          <w:sz w:val="28"/>
          <w:szCs w:val="28"/>
        </w:rPr>
        <w:t>（5）建设计划</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8"/>
        <w:gridCol w:w="2160"/>
        <w:gridCol w:w="3363"/>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1248" w:type="dxa"/>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年度</w:t>
            </w:r>
          </w:p>
        </w:tc>
        <w:tc>
          <w:tcPr>
            <w:tcW w:w="2160" w:type="dxa"/>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建设任务</w:t>
            </w:r>
          </w:p>
        </w:tc>
        <w:tc>
          <w:tcPr>
            <w:tcW w:w="3363" w:type="dxa"/>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建设内容</w:t>
            </w:r>
          </w:p>
        </w:tc>
        <w:tc>
          <w:tcPr>
            <w:tcW w:w="1559" w:type="dxa"/>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负责部门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8" w:type="dxa"/>
            <w:vMerge w:val="restart"/>
            <w:vAlign w:val="center"/>
          </w:tcPr>
          <w:p>
            <w:pPr>
              <w:spacing w:line="260" w:lineRule="exact"/>
              <w:jc w:val="center"/>
              <w:rPr>
                <w:rFonts w:ascii="仿宋" w:hAnsi="仿宋" w:eastAsia="仿宋" w:cs="仿宋"/>
                <w:b/>
                <w:szCs w:val="21"/>
              </w:rPr>
            </w:pPr>
            <w:r>
              <w:rPr>
                <w:rFonts w:hint="eastAsia" w:ascii="仿宋" w:hAnsi="仿宋" w:eastAsia="仿宋" w:cs="仿宋"/>
                <w:b/>
                <w:szCs w:val="21"/>
              </w:rPr>
              <w:t>2023</w:t>
            </w:r>
          </w:p>
        </w:tc>
        <w:tc>
          <w:tcPr>
            <w:tcW w:w="2160" w:type="dxa"/>
            <w:vAlign w:val="center"/>
          </w:tcPr>
          <w:p>
            <w:pPr>
              <w:jc w:val="left"/>
              <w:rPr>
                <w:rFonts w:ascii="仿宋" w:hAnsi="仿宋" w:eastAsia="仿宋" w:cs="仿宋"/>
                <w:szCs w:val="21"/>
              </w:rPr>
            </w:pPr>
            <w:r>
              <w:rPr>
                <w:rFonts w:hint="eastAsia" w:ascii="仿宋" w:hAnsi="仿宋" w:eastAsia="仿宋" w:cs="仿宋"/>
                <w:szCs w:val="21"/>
              </w:rPr>
              <w:t>服务高端制造和产业高端</w:t>
            </w:r>
          </w:p>
        </w:tc>
        <w:tc>
          <w:tcPr>
            <w:tcW w:w="3363" w:type="dxa"/>
            <w:vAlign w:val="center"/>
          </w:tcPr>
          <w:p>
            <w:pPr>
              <w:spacing w:line="260" w:lineRule="exact"/>
              <w:jc w:val="center"/>
              <w:rPr>
                <w:rFonts w:ascii="仿宋" w:hAnsi="仿宋" w:eastAsia="仿宋" w:cs="仿宋"/>
                <w:szCs w:val="21"/>
              </w:rPr>
            </w:pPr>
            <w:r>
              <w:rPr>
                <w:rFonts w:hint="eastAsia" w:ascii="仿宋" w:hAnsi="仿宋" w:eastAsia="仿宋" w:cs="仿宋"/>
                <w:szCs w:val="21"/>
              </w:rPr>
              <w:t>构建动态的专业调整机制，对接粤港澳大湾区高端产业和产业高端人才需求</w:t>
            </w:r>
          </w:p>
        </w:tc>
        <w:tc>
          <w:tcPr>
            <w:tcW w:w="1559"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教务处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8" w:type="dxa"/>
            <w:vMerge w:val="continue"/>
            <w:vAlign w:val="center"/>
          </w:tcPr>
          <w:p>
            <w:pPr>
              <w:spacing w:line="260" w:lineRule="exact"/>
              <w:jc w:val="center"/>
              <w:rPr>
                <w:rFonts w:ascii="仿宋" w:hAnsi="仿宋" w:eastAsia="仿宋" w:cs="仿宋"/>
                <w:b/>
                <w:szCs w:val="21"/>
              </w:rPr>
            </w:pPr>
          </w:p>
        </w:tc>
        <w:tc>
          <w:tcPr>
            <w:tcW w:w="2160" w:type="dxa"/>
            <w:vAlign w:val="center"/>
          </w:tcPr>
          <w:p>
            <w:pPr>
              <w:jc w:val="left"/>
              <w:rPr>
                <w:rFonts w:ascii="仿宋" w:hAnsi="仿宋" w:eastAsia="仿宋" w:cs="仿宋"/>
                <w:szCs w:val="21"/>
              </w:rPr>
            </w:pPr>
            <w:r>
              <w:rPr>
                <w:rFonts w:hint="eastAsia" w:ascii="仿宋" w:hAnsi="仿宋" w:eastAsia="仿宋" w:cs="仿宋"/>
                <w:szCs w:val="21"/>
              </w:rPr>
              <w:t>服务乡村振兴</w:t>
            </w:r>
          </w:p>
        </w:tc>
        <w:tc>
          <w:tcPr>
            <w:tcW w:w="3363" w:type="dxa"/>
            <w:vAlign w:val="center"/>
          </w:tcPr>
          <w:p>
            <w:pPr>
              <w:jc w:val="left"/>
              <w:rPr>
                <w:rFonts w:ascii="仿宋" w:hAnsi="仿宋" w:eastAsia="仿宋" w:cs="仿宋"/>
                <w:szCs w:val="21"/>
              </w:rPr>
            </w:pPr>
            <w:r>
              <w:rPr>
                <w:rFonts w:hint="eastAsia" w:ascii="仿宋" w:hAnsi="仿宋" w:eastAsia="仿宋" w:cs="仿宋"/>
                <w:szCs w:val="21"/>
              </w:rPr>
              <w:t>积极开设相关专业，大力培养乡村建设所需高素质专业人才</w:t>
            </w:r>
          </w:p>
        </w:tc>
        <w:tc>
          <w:tcPr>
            <w:tcW w:w="1559"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教务处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8" w:type="dxa"/>
            <w:vMerge w:val="continue"/>
            <w:vAlign w:val="center"/>
          </w:tcPr>
          <w:p>
            <w:pPr>
              <w:spacing w:line="260" w:lineRule="exact"/>
              <w:jc w:val="center"/>
              <w:rPr>
                <w:rFonts w:ascii="仿宋" w:hAnsi="仿宋" w:eastAsia="仿宋" w:cs="仿宋"/>
                <w:b/>
                <w:szCs w:val="21"/>
              </w:rPr>
            </w:pPr>
          </w:p>
        </w:tc>
        <w:tc>
          <w:tcPr>
            <w:tcW w:w="2160" w:type="dxa"/>
            <w:vAlign w:val="center"/>
          </w:tcPr>
          <w:p>
            <w:pPr>
              <w:jc w:val="left"/>
              <w:rPr>
                <w:rFonts w:ascii="仿宋" w:hAnsi="仿宋" w:eastAsia="仿宋" w:cs="仿宋"/>
                <w:szCs w:val="21"/>
              </w:rPr>
            </w:pPr>
            <w:r>
              <w:rPr>
                <w:rFonts w:hint="eastAsia" w:ascii="仿宋" w:hAnsi="仿宋" w:eastAsia="仿宋" w:cs="仿宋"/>
                <w:szCs w:val="21"/>
              </w:rPr>
              <w:t>升级人才培养规格</w:t>
            </w:r>
          </w:p>
        </w:tc>
        <w:tc>
          <w:tcPr>
            <w:tcW w:w="3363" w:type="dxa"/>
            <w:vAlign w:val="center"/>
          </w:tcPr>
          <w:p>
            <w:pPr>
              <w:jc w:val="left"/>
              <w:rPr>
                <w:rFonts w:ascii="仿宋" w:hAnsi="仿宋" w:eastAsia="仿宋" w:cs="仿宋"/>
                <w:szCs w:val="21"/>
              </w:rPr>
            </w:pPr>
            <w:r>
              <w:rPr>
                <w:rFonts w:hint="eastAsia" w:ascii="仿宋" w:hAnsi="仿宋" w:eastAsia="仿宋" w:cs="仿宋"/>
                <w:szCs w:val="21"/>
              </w:rPr>
              <w:t>融合智能、安全、环保、质量、标准，升级改造电子信息产业人才培养规格，培养数字化、智能化、高素质技术技能人才</w:t>
            </w:r>
          </w:p>
        </w:tc>
        <w:tc>
          <w:tcPr>
            <w:tcW w:w="1559"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教务处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8" w:type="dxa"/>
            <w:vMerge w:val="continue"/>
            <w:vAlign w:val="center"/>
          </w:tcPr>
          <w:p>
            <w:pPr>
              <w:spacing w:line="260" w:lineRule="exact"/>
              <w:jc w:val="center"/>
              <w:rPr>
                <w:rFonts w:ascii="仿宋" w:hAnsi="仿宋" w:eastAsia="仿宋" w:cs="仿宋"/>
                <w:b/>
                <w:szCs w:val="21"/>
              </w:rPr>
            </w:pPr>
          </w:p>
        </w:tc>
        <w:tc>
          <w:tcPr>
            <w:tcW w:w="2160" w:type="dxa"/>
            <w:vAlign w:val="center"/>
          </w:tcPr>
          <w:p>
            <w:pPr>
              <w:jc w:val="left"/>
              <w:rPr>
                <w:rFonts w:ascii="仿宋" w:hAnsi="仿宋" w:eastAsia="仿宋" w:cs="仿宋"/>
                <w:szCs w:val="21"/>
              </w:rPr>
            </w:pPr>
            <w:r>
              <w:rPr>
                <w:rFonts w:hint="eastAsia" w:ascii="仿宋" w:hAnsi="仿宋" w:eastAsia="仿宋" w:cs="仿宋"/>
                <w:szCs w:val="21"/>
              </w:rPr>
              <w:t>完善专业群建设发展机制</w:t>
            </w:r>
          </w:p>
        </w:tc>
        <w:tc>
          <w:tcPr>
            <w:tcW w:w="3363" w:type="dxa"/>
            <w:vAlign w:val="center"/>
          </w:tcPr>
          <w:p>
            <w:pPr>
              <w:jc w:val="left"/>
              <w:rPr>
                <w:rFonts w:ascii="仿宋" w:hAnsi="仿宋" w:eastAsia="仿宋" w:cs="仿宋"/>
                <w:szCs w:val="21"/>
              </w:rPr>
            </w:pPr>
            <w:r>
              <w:rPr>
                <w:rFonts w:hint="eastAsia" w:ascii="仿宋" w:hAnsi="仿宋" w:eastAsia="仿宋" w:cs="仿宋"/>
                <w:szCs w:val="21"/>
              </w:rPr>
              <w:t>建立基于大数据的专业群年度评估机制，从支撑产业发展、培养模式、保障条件、人才培养质量、社会服务等方面设计、调整完善量化评估指标</w:t>
            </w:r>
          </w:p>
        </w:tc>
        <w:tc>
          <w:tcPr>
            <w:tcW w:w="1559"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教务处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8" w:type="dxa"/>
            <w:vMerge w:val="continue"/>
            <w:vAlign w:val="center"/>
          </w:tcPr>
          <w:p>
            <w:pPr>
              <w:spacing w:line="260" w:lineRule="exact"/>
              <w:jc w:val="center"/>
              <w:rPr>
                <w:rFonts w:ascii="仿宋" w:hAnsi="仿宋" w:eastAsia="仿宋" w:cs="仿宋"/>
                <w:b/>
                <w:szCs w:val="21"/>
              </w:rPr>
            </w:pPr>
          </w:p>
        </w:tc>
        <w:tc>
          <w:tcPr>
            <w:tcW w:w="2160" w:type="dxa"/>
            <w:vAlign w:val="center"/>
          </w:tcPr>
          <w:p>
            <w:pPr>
              <w:jc w:val="left"/>
              <w:rPr>
                <w:rFonts w:ascii="仿宋" w:hAnsi="仿宋" w:eastAsia="仿宋" w:cs="仿宋"/>
                <w:szCs w:val="21"/>
              </w:rPr>
            </w:pPr>
            <w:r>
              <w:rPr>
                <w:rFonts w:hint="eastAsia" w:ascii="仿宋" w:hAnsi="仿宋" w:eastAsia="仿宋" w:cs="仿宋"/>
                <w:szCs w:val="21"/>
              </w:rPr>
              <w:t>优化专业预警和动态调整机制</w:t>
            </w:r>
          </w:p>
        </w:tc>
        <w:tc>
          <w:tcPr>
            <w:tcW w:w="3363" w:type="dxa"/>
            <w:vAlign w:val="center"/>
          </w:tcPr>
          <w:p>
            <w:pPr>
              <w:jc w:val="left"/>
              <w:rPr>
                <w:rFonts w:ascii="仿宋" w:hAnsi="仿宋" w:eastAsia="仿宋" w:cs="仿宋"/>
                <w:szCs w:val="21"/>
              </w:rPr>
            </w:pPr>
            <w:r>
              <w:rPr>
                <w:rFonts w:hint="eastAsia" w:ascii="仿宋" w:hAnsi="仿宋" w:eastAsia="仿宋" w:cs="仿宋"/>
                <w:szCs w:val="21"/>
              </w:rPr>
              <w:t>根据评估结果、专业调研等，建立专业预警机制、停招专业教师的转岗与培训机制等，对不符合产业需求、教学质量不高的专业不断减少招生规模直至停招</w:t>
            </w:r>
          </w:p>
        </w:tc>
        <w:tc>
          <w:tcPr>
            <w:tcW w:w="1559"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教务处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8" w:type="dxa"/>
            <w:vMerge w:val="restart"/>
            <w:vAlign w:val="center"/>
          </w:tcPr>
          <w:p>
            <w:pPr>
              <w:spacing w:line="260" w:lineRule="exact"/>
              <w:jc w:val="center"/>
              <w:rPr>
                <w:rFonts w:ascii="仿宋" w:hAnsi="仿宋" w:eastAsia="仿宋" w:cs="仿宋"/>
                <w:b/>
                <w:szCs w:val="21"/>
              </w:rPr>
            </w:pPr>
            <w:r>
              <w:rPr>
                <w:rFonts w:hint="eastAsia" w:ascii="仿宋" w:hAnsi="仿宋" w:eastAsia="仿宋" w:cs="仿宋"/>
                <w:b/>
                <w:szCs w:val="21"/>
              </w:rPr>
              <w:t>2024</w:t>
            </w:r>
          </w:p>
        </w:tc>
        <w:tc>
          <w:tcPr>
            <w:tcW w:w="2160" w:type="dxa"/>
            <w:vAlign w:val="center"/>
          </w:tcPr>
          <w:p>
            <w:pPr>
              <w:jc w:val="left"/>
              <w:rPr>
                <w:rFonts w:ascii="仿宋" w:hAnsi="仿宋" w:eastAsia="仿宋" w:cs="仿宋"/>
                <w:szCs w:val="21"/>
              </w:rPr>
            </w:pPr>
            <w:r>
              <w:rPr>
                <w:rFonts w:hint="eastAsia" w:ascii="仿宋" w:hAnsi="仿宋" w:eastAsia="仿宋" w:cs="仿宋"/>
                <w:szCs w:val="21"/>
              </w:rPr>
              <w:t>服务高端制造和产业高端</w:t>
            </w:r>
          </w:p>
        </w:tc>
        <w:tc>
          <w:tcPr>
            <w:tcW w:w="3363" w:type="dxa"/>
            <w:vAlign w:val="center"/>
          </w:tcPr>
          <w:p>
            <w:pPr>
              <w:spacing w:line="260" w:lineRule="exact"/>
              <w:jc w:val="left"/>
              <w:rPr>
                <w:rFonts w:ascii="仿宋" w:hAnsi="仿宋" w:eastAsia="仿宋" w:cs="仿宋"/>
                <w:szCs w:val="21"/>
              </w:rPr>
            </w:pPr>
            <w:r>
              <w:rPr>
                <w:rFonts w:hint="eastAsia" w:ascii="仿宋" w:hAnsi="仿宋" w:eastAsia="仿宋" w:cs="仿宋"/>
                <w:szCs w:val="21"/>
              </w:rPr>
              <w:t>构建动态的专业调整机制，对接粤港澳大湾区高端产业和产业高端人才需求</w:t>
            </w:r>
          </w:p>
        </w:tc>
        <w:tc>
          <w:tcPr>
            <w:tcW w:w="1559"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教务处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8" w:type="dxa"/>
            <w:vMerge w:val="continue"/>
            <w:vAlign w:val="center"/>
          </w:tcPr>
          <w:p>
            <w:pPr>
              <w:spacing w:line="260" w:lineRule="exact"/>
              <w:jc w:val="center"/>
              <w:rPr>
                <w:rFonts w:ascii="仿宋" w:hAnsi="仿宋" w:eastAsia="仿宋" w:cs="仿宋"/>
                <w:b/>
                <w:szCs w:val="21"/>
              </w:rPr>
            </w:pPr>
          </w:p>
        </w:tc>
        <w:tc>
          <w:tcPr>
            <w:tcW w:w="2160" w:type="dxa"/>
            <w:vAlign w:val="center"/>
          </w:tcPr>
          <w:p>
            <w:pPr>
              <w:jc w:val="left"/>
              <w:rPr>
                <w:rFonts w:ascii="仿宋" w:hAnsi="仿宋" w:eastAsia="仿宋" w:cs="仿宋"/>
                <w:szCs w:val="21"/>
              </w:rPr>
            </w:pPr>
            <w:r>
              <w:rPr>
                <w:rFonts w:hint="eastAsia" w:ascii="仿宋" w:hAnsi="仿宋" w:eastAsia="仿宋" w:cs="仿宋"/>
                <w:szCs w:val="21"/>
              </w:rPr>
              <w:t>服务乡村振兴</w:t>
            </w:r>
          </w:p>
        </w:tc>
        <w:tc>
          <w:tcPr>
            <w:tcW w:w="3363" w:type="dxa"/>
            <w:vAlign w:val="center"/>
          </w:tcPr>
          <w:p>
            <w:pPr>
              <w:jc w:val="left"/>
              <w:rPr>
                <w:rFonts w:ascii="仿宋" w:hAnsi="仿宋" w:eastAsia="仿宋" w:cs="仿宋"/>
                <w:szCs w:val="21"/>
              </w:rPr>
            </w:pPr>
            <w:r>
              <w:rPr>
                <w:rFonts w:hint="eastAsia" w:ascii="仿宋" w:hAnsi="仿宋" w:eastAsia="仿宋" w:cs="仿宋"/>
                <w:szCs w:val="21"/>
              </w:rPr>
              <w:t>充分挖潜学校教育培训资源，积极搭建高素质农民教育培训平台，大力开设新型职业农民培训课程，开展各项高素质农业经理人培训</w:t>
            </w:r>
          </w:p>
        </w:tc>
        <w:tc>
          <w:tcPr>
            <w:tcW w:w="1559"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继续教育中心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8" w:type="dxa"/>
            <w:vMerge w:val="continue"/>
            <w:vAlign w:val="center"/>
          </w:tcPr>
          <w:p>
            <w:pPr>
              <w:spacing w:line="260" w:lineRule="exact"/>
              <w:jc w:val="center"/>
              <w:rPr>
                <w:rFonts w:ascii="仿宋" w:hAnsi="仿宋" w:eastAsia="仿宋" w:cs="仿宋"/>
                <w:b/>
                <w:szCs w:val="21"/>
              </w:rPr>
            </w:pPr>
          </w:p>
        </w:tc>
        <w:tc>
          <w:tcPr>
            <w:tcW w:w="2160" w:type="dxa"/>
            <w:vAlign w:val="center"/>
          </w:tcPr>
          <w:p>
            <w:pPr>
              <w:jc w:val="left"/>
              <w:rPr>
                <w:rFonts w:ascii="仿宋" w:hAnsi="仿宋" w:eastAsia="仿宋" w:cs="仿宋"/>
                <w:szCs w:val="21"/>
              </w:rPr>
            </w:pPr>
            <w:r>
              <w:rPr>
                <w:rFonts w:hint="eastAsia" w:ascii="仿宋" w:hAnsi="仿宋" w:eastAsia="仿宋" w:cs="仿宋"/>
                <w:szCs w:val="21"/>
              </w:rPr>
              <w:t>升级人才培养规格</w:t>
            </w:r>
          </w:p>
        </w:tc>
        <w:tc>
          <w:tcPr>
            <w:tcW w:w="3363" w:type="dxa"/>
            <w:vAlign w:val="center"/>
          </w:tcPr>
          <w:p>
            <w:pPr>
              <w:jc w:val="left"/>
              <w:rPr>
                <w:rFonts w:ascii="仿宋" w:hAnsi="仿宋" w:eastAsia="仿宋" w:cs="仿宋"/>
                <w:szCs w:val="21"/>
              </w:rPr>
            </w:pPr>
            <w:r>
              <w:rPr>
                <w:rFonts w:hint="eastAsia" w:ascii="仿宋" w:hAnsi="仿宋" w:eastAsia="仿宋" w:cs="仿宋"/>
                <w:szCs w:val="21"/>
              </w:rPr>
              <w:t>聚焦装备制造业和现代商贸产业数字化、信息化、智能化趋势，适应工业机器人、多轴精密加工技术、数字化建造等新技术，升级专业群人才培养规格，培养新一代电子信息产业的高端技术技能人才</w:t>
            </w:r>
          </w:p>
        </w:tc>
        <w:tc>
          <w:tcPr>
            <w:tcW w:w="1559"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教务处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8" w:type="dxa"/>
            <w:vMerge w:val="continue"/>
            <w:vAlign w:val="center"/>
          </w:tcPr>
          <w:p>
            <w:pPr>
              <w:spacing w:line="260" w:lineRule="exact"/>
              <w:jc w:val="center"/>
              <w:rPr>
                <w:rFonts w:ascii="仿宋" w:hAnsi="仿宋" w:eastAsia="仿宋" w:cs="仿宋"/>
                <w:b/>
                <w:szCs w:val="21"/>
              </w:rPr>
            </w:pPr>
          </w:p>
        </w:tc>
        <w:tc>
          <w:tcPr>
            <w:tcW w:w="2160" w:type="dxa"/>
            <w:vAlign w:val="center"/>
          </w:tcPr>
          <w:p>
            <w:pPr>
              <w:jc w:val="left"/>
              <w:rPr>
                <w:rFonts w:ascii="仿宋" w:hAnsi="仿宋" w:eastAsia="仿宋" w:cs="仿宋"/>
                <w:szCs w:val="21"/>
              </w:rPr>
            </w:pPr>
            <w:r>
              <w:rPr>
                <w:rFonts w:hint="eastAsia" w:ascii="仿宋" w:hAnsi="仿宋" w:eastAsia="仿宋" w:cs="仿宋"/>
                <w:szCs w:val="21"/>
              </w:rPr>
              <w:t>完善专业群建设发展机制</w:t>
            </w:r>
          </w:p>
        </w:tc>
        <w:tc>
          <w:tcPr>
            <w:tcW w:w="3363" w:type="dxa"/>
            <w:vAlign w:val="center"/>
          </w:tcPr>
          <w:p>
            <w:pPr>
              <w:jc w:val="left"/>
              <w:rPr>
                <w:rFonts w:ascii="仿宋" w:hAnsi="仿宋" w:eastAsia="仿宋" w:cs="仿宋"/>
                <w:szCs w:val="21"/>
              </w:rPr>
            </w:pPr>
            <w:r>
              <w:rPr>
                <w:rFonts w:hint="eastAsia" w:ascii="仿宋" w:hAnsi="仿宋" w:eastAsia="仿宋" w:cs="仿宋"/>
                <w:szCs w:val="21"/>
              </w:rPr>
              <w:t>优化专业群数据常态化采集体系，实现专业群评估指标数据的实时采集和动态更新</w:t>
            </w:r>
          </w:p>
        </w:tc>
        <w:tc>
          <w:tcPr>
            <w:tcW w:w="1559"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教务处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8" w:type="dxa"/>
            <w:vMerge w:val="continue"/>
            <w:vAlign w:val="center"/>
          </w:tcPr>
          <w:p>
            <w:pPr>
              <w:spacing w:line="260" w:lineRule="exact"/>
              <w:jc w:val="center"/>
              <w:rPr>
                <w:rFonts w:ascii="仿宋" w:hAnsi="仿宋" w:eastAsia="仿宋" w:cs="仿宋"/>
                <w:b/>
                <w:szCs w:val="21"/>
              </w:rPr>
            </w:pPr>
          </w:p>
        </w:tc>
        <w:tc>
          <w:tcPr>
            <w:tcW w:w="2160" w:type="dxa"/>
            <w:vAlign w:val="center"/>
          </w:tcPr>
          <w:p>
            <w:pPr>
              <w:jc w:val="left"/>
              <w:rPr>
                <w:rFonts w:ascii="仿宋" w:hAnsi="仿宋" w:eastAsia="仿宋" w:cs="仿宋"/>
                <w:szCs w:val="21"/>
              </w:rPr>
            </w:pPr>
            <w:r>
              <w:rPr>
                <w:rFonts w:hint="eastAsia" w:ascii="仿宋" w:hAnsi="仿宋" w:eastAsia="仿宋" w:cs="仿宋"/>
                <w:szCs w:val="21"/>
              </w:rPr>
              <w:t>优化专业预警和动态调整机制</w:t>
            </w:r>
          </w:p>
        </w:tc>
        <w:tc>
          <w:tcPr>
            <w:tcW w:w="3363" w:type="dxa"/>
            <w:vAlign w:val="center"/>
          </w:tcPr>
          <w:p>
            <w:pPr>
              <w:jc w:val="left"/>
              <w:rPr>
                <w:rFonts w:ascii="仿宋" w:hAnsi="仿宋" w:eastAsia="仿宋" w:cs="仿宋"/>
                <w:szCs w:val="21"/>
              </w:rPr>
            </w:pPr>
            <w:r>
              <w:rPr>
                <w:rFonts w:hint="eastAsia" w:ascii="仿宋" w:hAnsi="仿宋" w:eastAsia="仿宋" w:cs="仿宋"/>
                <w:szCs w:val="21"/>
              </w:rPr>
              <w:t>完善学校新专业设置管理办法，明确专业群中新专业的设置原则、基本条件，规范申请流程，建立新增专业年度评估制度，督促和改进新专业建设</w:t>
            </w:r>
          </w:p>
        </w:tc>
        <w:tc>
          <w:tcPr>
            <w:tcW w:w="1559"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教务处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8" w:type="dxa"/>
            <w:vMerge w:val="restart"/>
            <w:vAlign w:val="center"/>
          </w:tcPr>
          <w:p>
            <w:pPr>
              <w:spacing w:line="260" w:lineRule="exact"/>
              <w:jc w:val="center"/>
              <w:rPr>
                <w:rFonts w:ascii="仿宋" w:hAnsi="仿宋" w:eastAsia="仿宋" w:cs="仿宋"/>
                <w:b/>
                <w:szCs w:val="21"/>
              </w:rPr>
            </w:pPr>
            <w:r>
              <w:rPr>
                <w:rFonts w:hint="eastAsia" w:ascii="仿宋" w:hAnsi="仿宋" w:eastAsia="仿宋" w:cs="仿宋"/>
                <w:b/>
                <w:szCs w:val="21"/>
              </w:rPr>
              <w:t>2025</w:t>
            </w:r>
          </w:p>
        </w:tc>
        <w:tc>
          <w:tcPr>
            <w:tcW w:w="2160" w:type="dxa"/>
            <w:vAlign w:val="center"/>
          </w:tcPr>
          <w:p>
            <w:pPr>
              <w:jc w:val="left"/>
              <w:rPr>
                <w:rFonts w:ascii="仿宋" w:hAnsi="仿宋" w:eastAsia="仿宋" w:cs="仿宋"/>
                <w:szCs w:val="21"/>
              </w:rPr>
            </w:pPr>
            <w:r>
              <w:rPr>
                <w:rFonts w:hint="eastAsia" w:ascii="仿宋" w:hAnsi="仿宋" w:eastAsia="仿宋" w:cs="仿宋"/>
                <w:szCs w:val="21"/>
              </w:rPr>
              <w:t>服务高端制造和产业高端</w:t>
            </w:r>
          </w:p>
        </w:tc>
        <w:tc>
          <w:tcPr>
            <w:tcW w:w="3363" w:type="dxa"/>
            <w:vAlign w:val="center"/>
          </w:tcPr>
          <w:p>
            <w:pPr>
              <w:spacing w:line="260" w:lineRule="exact"/>
              <w:jc w:val="left"/>
              <w:rPr>
                <w:rFonts w:ascii="仿宋" w:hAnsi="仿宋" w:eastAsia="仿宋" w:cs="仿宋"/>
                <w:szCs w:val="21"/>
              </w:rPr>
            </w:pPr>
            <w:r>
              <w:rPr>
                <w:rFonts w:hint="eastAsia" w:ascii="仿宋" w:hAnsi="仿宋" w:eastAsia="仿宋" w:cs="仿宋"/>
                <w:szCs w:val="21"/>
              </w:rPr>
              <w:t>构建动态的专业调整机制，对接粤港澳大湾区高端产业和产业高端人才需求</w:t>
            </w:r>
          </w:p>
        </w:tc>
        <w:tc>
          <w:tcPr>
            <w:tcW w:w="1559"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教务处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8" w:type="dxa"/>
            <w:vMerge w:val="continue"/>
            <w:vAlign w:val="center"/>
          </w:tcPr>
          <w:p>
            <w:pPr>
              <w:spacing w:line="260" w:lineRule="exact"/>
              <w:jc w:val="center"/>
              <w:rPr>
                <w:rFonts w:ascii="仿宋" w:hAnsi="仿宋" w:eastAsia="仿宋" w:cs="仿宋"/>
                <w:bCs/>
                <w:szCs w:val="21"/>
              </w:rPr>
            </w:pPr>
          </w:p>
        </w:tc>
        <w:tc>
          <w:tcPr>
            <w:tcW w:w="2160" w:type="dxa"/>
            <w:vAlign w:val="center"/>
          </w:tcPr>
          <w:p>
            <w:pPr>
              <w:jc w:val="left"/>
              <w:rPr>
                <w:rFonts w:ascii="仿宋" w:hAnsi="仿宋" w:eastAsia="仿宋" w:cs="仿宋"/>
                <w:szCs w:val="21"/>
              </w:rPr>
            </w:pPr>
            <w:r>
              <w:rPr>
                <w:rFonts w:hint="eastAsia" w:ascii="仿宋" w:hAnsi="仿宋" w:eastAsia="仿宋" w:cs="仿宋"/>
                <w:szCs w:val="21"/>
              </w:rPr>
              <w:t>服务乡村振兴</w:t>
            </w:r>
          </w:p>
        </w:tc>
        <w:tc>
          <w:tcPr>
            <w:tcW w:w="3363" w:type="dxa"/>
            <w:vAlign w:val="center"/>
          </w:tcPr>
          <w:p>
            <w:pPr>
              <w:jc w:val="left"/>
              <w:rPr>
                <w:rFonts w:ascii="仿宋" w:hAnsi="仿宋" w:eastAsia="仿宋" w:cs="仿宋"/>
                <w:szCs w:val="21"/>
              </w:rPr>
            </w:pPr>
            <w:r>
              <w:rPr>
                <w:rFonts w:hint="eastAsia" w:ascii="仿宋" w:hAnsi="仿宋" w:eastAsia="仿宋" w:cs="仿宋"/>
                <w:szCs w:val="21"/>
              </w:rPr>
              <w:t>积极组建农村科技特派员团队，开展各项科技下乡活动。学校也正在面向三农，全力打造园林技术专业群，服务乡村振兴</w:t>
            </w:r>
          </w:p>
        </w:tc>
        <w:tc>
          <w:tcPr>
            <w:tcW w:w="1559"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生态工程学院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8" w:type="dxa"/>
            <w:vMerge w:val="continue"/>
            <w:vAlign w:val="center"/>
          </w:tcPr>
          <w:p>
            <w:pPr>
              <w:spacing w:line="260" w:lineRule="exact"/>
              <w:jc w:val="center"/>
              <w:rPr>
                <w:rFonts w:ascii="仿宋" w:hAnsi="仿宋" w:eastAsia="仿宋" w:cs="仿宋"/>
                <w:bCs/>
                <w:szCs w:val="21"/>
              </w:rPr>
            </w:pPr>
          </w:p>
        </w:tc>
        <w:tc>
          <w:tcPr>
            <w:tcW w:w="2160" w:type="dxa"/>
            <w:vAlign w:val="center"/>
          </w:tcPr>
          <w:p>
            <w:pPr>
              <w:jc w:val="left"/>
              <w:rPr>
                <w:rFonts w:ascii="仿宋" w:hAnsi="仿宋" w:eastAsia="仿宋" w:cs="仿宋"/>
                <w:szCs w:val="21"/>
              </w:rPr>
            </w:pPr>
            <w:r>
              <w:rPr>
                <w:rFonts w:hint="eastAsia" w:ascii="仿宋" w:hAnsi="仿宋" w:eastAsia="仿宋" w:cs="仿宋"/>
                <w:szCs w:val="21"/>
              </w:rPr>
              <w:t>升级人才培养规格</w:t>
            </w:r>
          </w:p>
        </w:tc>
        <w:tc>
          <w:tcPr>
            <w:tcW w:w="3363" w:type="dxa"/>
            <w:vAlign w:val="center"/>
          </w:tcPr>
          <w:p>
            <w:pPr>
              <w:jc w:val="left"/>
              <w:rPr>
                <w:rFonts w:ascii="仿宋" w:hAnsi="仿宋" w:eastAsia="仿宋" w:cs="仿宋"/>
                <w:szCs w:val="21"/>
              </w:rPr>
            </w:pPr>
            <w:r>
              <w:rPr>
                <w:rFonts w:hint="eastAsia" w:ascii="仿宋" w:hAnsi="仿宋" w:eastAsia="仿宋" w:cs="仿宋"/>
                <w:szCs w:val="21"/>
              </w:rPr>
              <w:t>聚焦装备制造业和现代商贸产业数字化、信息化、智能化趋势，适应工业机器人、多轴精密加工技术、数字化建造等新技术，升级专业群人才培养规格，培养新一代电子信息产业的高端技术技能人才</w:t>
            </w:r>
          </w:p>
        </w:tc>
        <w:tc>
          <w:tcPr>
            <w:tcW w:w="1559"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教务处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8" w:type="dxa"/>
            <w:vMerge w:val="continue"/>
            <w:vAlign w:val="center"/>
          </w:tcPr>
          <w:p>
            <w:pPr>
              <w:spacing w:line="260" w:lineRule="exact"/>
              <w:jc w:val="center"/>
              <w:rPr>
                <w:rFonts w:ascii="仿宋" w:hAnsi="仿宋" w:eastAsia="仿宋" w:cs="仿宋"/>
                <w:bCs/>
                <w:szCs w:val="21"/>
              </w:rPr>
            </w:pPr>
          </w:p>
        </w:tc>
        <w:tc>
          <w:tcPr>
            <w:tcW w:w="2160" w:type="dxa"/>
            <w:vAlign w:val="center"/>
          </w:tcPr>
          <w:p>
            <w:pPr>
              <w:jc w:val="left"/>
              <w:rPr>
                <w:rFonts w:ascii="仿宋" w:hAnsi="仿宋" w:eastAsia="仿宋" w:cs="仿宋"/>
                <w:szCs w:val="21"/>
              </w:rPr>
            </w:pPr>
            <w:r>
              <w:rPr>
                <w:rFonts w:hint="eastAsia" w:ascii="仿宋" w:hAnsi="仿宋" w:eastAsia="仿宋" w:cs="仿宋"/>
                <w:szCs w:val="21"/>
              </w:rPr>
              <w:t>完善专业群建设发展机制</w:t>
            </w:r>
          </w:p>
        </w:tc>
        <w:tc>
          <w:tcPr>
            <w:tcW w:w="3363" w:type="dxa"/>
            <w:vAlign w:val="center"/>
          </w:tcPr>
          <w:p>
            <w:pPr>
              <w:jc w:val="left"/>
              <w:rPr>
                <w:rFonts w:ascii="仿宋" w:hAnsi="仿宋" w:eastAsia="仿宋" w:cs="仿宋"/>
                <w:szCs w:val="21"/>
              </w:rPr>
            </w:pPr>
            <w:r>
              <w:rPr>
                <w:rFonts w:hint="eastAsia" w:ascii="仿宋" w:hAnsi="仿宋" w:eastAsia="仿宋" w:cs="仿宋"/>
                <w:szCs w:val="21"/>
              </w:rPr>
              <w:t>设计开发专业评估数据的统计分析系统，快速、高效地呈现出评估结果，并能客观、科学、系统地对结果进行分析</w:t>
            </w:r>
          </w:p>
        </w:tc>
        <w:tc>
          <w:tcPr>
            <w:tcW w:w="1559"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教务处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8" w:type="dxa"/>
            <w:vMerge w:val="continue"/>
            <w:vAlign w:val="center"/>
          </w:tcPr>
          <w:p>
            <w:pPr>
              <w:spacing w:line="260" w:lineRule="exact"/>
              <w:jc w:val="center"/>
              <w:rPr>
                <w:rFonts w:ascii="仿宋" w:hAnsi="仿宋" w:eastAsia="仿宋" w:cs="仿宋"/>
                <w:bCs/>
                <w:szCs w:val="21"/>
              </w:rPr>
            </w:pPr>
          </w:p>
        </w:tc>
        <w:tc>
          <w:tcPr>
            <w:tcW w:w="2160" w:type="dxa"/>
            <w:vAlign w:val="center"/>
          </w:tcPr>
          <w:p>
            <w:pPr>
              <w:jc w:val="left"/>
              <w:rPr>
                <w:rFonts w:ascii="仿宋" w:hAnsi="仿宋" w:eastAsia="仿宋" w:cs="仿宋"/>
                <w:szCs w:val="21"/>
              </w:rPr>
            </w:pPr>
            <w:r>
              <w:rPr>
                <w:rFonts w:hint="eastAsia" w:ascii="仿宋" w:hAnsi="仿宋" w:eastAsia="仿宋" w:cs="仿宋"/>
                <w:szCs w:val="21"/>
              </w:rPr>
              <w:t>优化专业预警和动态调整机制</w:t>
            </w:r>
          </w:p>
        </w:tc>
        <w:tc>
          <w:tcPr>
            <w:tcW w:w="3363" w:type="dxa"/>
            <w:vAlign w:val="center"/>
          </w:tcPr>
          <w:p>
            <w:pPr>
              <w:jc w:val="left"/>
              <w:rPr>
                <w:rFonts w:ascii="仿宋" w:hAnsi="仿宋" w:eastAsia="仿宋" w:cs="仿宋"/>
                <w:szCs w:val="21"/>
              </w:rPr>
            </w:pPr>
            <w:r>
              <w:rPr>
                <w:rFonts w:hint="eastAsia" w:ascii="仿宋" w:hAnsi="仿宋" w:eastAsia="仿宋" w:cs="仿宋"/>
                <w:szCs w:val="21"/>
              </w:rPr>
              <w:t>完善学校新专业设置管理办法，明确专业群中新专业的设置原则、基本条件，规范申请流程，建立新增专业年度评估制度，督促和改进新专业建设</w:t>
            </w:r>
          </w:p>
        </w:tc>
        <w:tc>
          <w:tcPr>
            <w:tcW w:w="1559"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教务处</w:t>
            </w:r>
          </w:p>
        </w:tc>
      </w:tr>
    </w:tbl>
    <w:p>
      <w:pPr>
        <w:keepNext/>
        <w:keepLines/>
        <w:spacing w:line="540" w:lineRule="exact"/>
        <w:ind w:firstLine="562" w:firstLineChars="200"/>
        <w:outlineLvl w:val="3"/>
        <w:rPr>
          <w:rFonts w:ascii="Times New Roman" w:hAnsi="Times New Roman" w:eastAsia="仿宋"/>
          <w:b/>
          <w:sz w:val="28"/>
          <w:szCs w:val="28"/>
        </w:rPr>
      </w:pPr>
      <w:r>
        <w:rPr>
          <w:rFonts w:hint="eastAsia" w:ascii="Times New Roman" w:hAnsi="Times New Roman" w:eastAsia="仿宋"/>
          <w:b/>
          <w:sz w:val="28"/>
          <w:szCs w:val="28"/>
        </w:rPr>
        <w:t>（6）预期成效及资金测算</w:t>
      </w:r>
    </w:p>
    <w:tbl>
      <w:tblPr>
        <w:tblStyle w:val="16"/>
        <w:tblW w:w="0" w:type="auto"/>
        <w:jc w:val="center"/>
        <w:tblLayout w:type="autofit"/>
        <w:tblCellMar>
          <w:top w:w="15" w:type="dxa"/>
          <w:left w:w="15" w:type="dxa"/>
          <w:bottom w:w="15" w:type="dxa"/>
          <w:right w:w="15" w:type="dxa"/>
        </w:tblCellMar>
      </w:tblPr>
      <w:tblGrid>
        <w:gridCol w:w="888"/>
        <w:gridCol w:w="3694"/>
        <w:gridCol w:w="2206"/>
        <w:gridCol w:w="516"/>
        <w:gridCol w:w="516"/>
        <w:gridCol w:w="516"/>
      </w:tblGrid>
      <w:tr>
        <w:tblPrEx>
          <w:tblCellMar>
            <w:top w:w="15" w:type="dxa"/>
            <w:left w:w="15" w:type="dxa"/>
            <w:bottom w:w="15" w:type="dxa"/>
            <w:right w:w="15" w:type="dxa"/>
          </w:tblCellMar>
        </w:tblPrEx>
        <w:trPr>
          <w:trHeight w:val="301" w:hRule="atLeast"/>
          <w:jc w:val="center"/>
        </w:trPr>
        <w:tc>
          <w:tcPr>
            <w:tcW w:w="888" w:type="dxa"/>
            <w:vMerge w:val="restart"/>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项目名称</w:t>
            </w:r>
          </w:p>
        </w:tc>
        <w:tc>
          <w:tcPr>
            <w:tcW w:w="3693" w:type="dxa"/>
            <w:vMerge w:val="restart"/>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主要建设内容</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预期建设成效</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建设资金安排表（万元）</w:t>
            </w:r>
          </w:p>
        </w:tc>
      </w:tr>
      <w:tr>
        <w:tblPrEx>
          <w:tblCellMar>
            <w:top w:w="15" w:type="dxa"/>
            <w:left w:w="15" w:type="dxa"/>
            <w:bottom w:w="15" w:type="dxa"/>
            <w:right w:w="15" w:type="dxa"/>
          </w:tblCellMar>
        </w:tblPrEx>
        <w:trPr>
          <w:trHeight w:val="286" w:hRule="atLeast"/>
          <w:jc w:val="center"/>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jc w:val="center"/>
              <w:rPr>
                <w:rFonts w:ascii="仿宋" w:hAnsi="仿宋" w:eastAsia="仿宋" w:cs="仿宋"/>
                <w:b/>
                <w:bCs/>
                <w:color w:val="000000"/>
                <w:szCs w:val="21"/>
              </w:rPr>
            </w:pPr>
          </w:p>
        </w:tc>
        <w:tc>
          <w:tcPr>
            <w:tcW w:w="3693" w:type="dxa"/>
            <w:vMerge w:val="continue"/>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jc w:val="center"/>
              <w:rPr>
                <w:rFonts w:ascii="仿宋" w:hAnsi="仿宋" w:eastAsia="仿宋" w:cs="仿宋"/>
                <w:b/>
                <w:bCs/>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jc w:val="center"/>
              <w:rPr>
                <w:rFonts w:ascii="仿宋" w:hAnsi="仿宋" w:eastAsia="仿宋" w:cs="仿宋"/>
                <w:b/>
                <w:bCs/>
                <w:color w:val="000000"/>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kern w:val="0"/>
                <w:szCs w:val="21"/>
                <w:lang w:bidi="ar"/>
              </w:rPr>
            </w:pPr>
            <w:r>
              <w:rPr>
                <w:rFonts w:hint="eastAsia" w:ascii="仿宋" w:hAnsi="仿宋" w:eastAsia="仿宋" w:cs="仿宋"/>
                <w:b/>
                <w:bCs/>
                <w:color w:val="000000"/>
                <w:kern w:val="0"/>
                <w:szCs w:val="21"/>
                <w:lang w:bidi="ar"/>
              </w:rPr>
              <w:t>2023年</w:t>
            </w:r>
          </w:p>
        </w:tc>
        <w:tc>
          <w:tcPr>
            <w:tcW w:w="0" w:type="auto"/>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2024年</w:t>
            </w:r>
          </w:p>
        </w:tc>
        <w:tc>
          <w:tcPr>
            <w:tcW w:w="0" w:type="auto"/>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2025年</w:t>
            </w:r>
          </w:p>
        </w:tc>
      </w:tr>
      <w:tr>
        <w:tblPrEx>
          <w:tblCellMar>
            <w:top w:w="15" w:type="dxa"/>
            <w:left w:w="15" w:type="dxa"/>
            <w:bottom w:w="15" w:type="dxa"/>
            <w:right w:w="15" w:type="dxa"/>
          </w:tblCellMar>
        </w:tblPrEx>
        <w:trPr>
          <w:trHeight w:val="450" w:hRule="atLeast"/>
          <w:jc w:val="center"/>
        </w:trPr>
        <w:tc>
          <w:tcPr>
            <w:tcW w:w="888"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Cs w:val="21"/>
              </w:rPr>
            </w:pPr>
            <w:r>
              <w:rPr>
                <w:rFonts w:hint="eastAsia" w:ascii="仿宋" w:hAnsi="仿宋" w:eastAsia="仿宋" w:cs="仿宋"/>
                <w:b/>
                <w:bCs/>
                <w:color w:val="000000"/>
                <w:szCs w:val="21"/>
              </w:rPr>
              <w:t>办学定位与专业设置适应度提升项目</w:t>
            </w:r>
          </w:p>
        </w:tc>
        <w:tc>
          <w:tcPr>
            <w:tcW w:w="3693"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仿宋"/>
                <w:color w:val="000000"/>
                <w:szCs w:val="21"/>
              </w:rPr>
            </w:pPr>
            <w:r>
              <w:rPr>
                <w:rFonts w:hint="eastAsia" w:ascii="仿宋" w:hAnsi="仿宋" w:eastAsia="仿宋" w:cs="仿宋"/>
                <w:color w:val="000000"/>
                <w:szCs w:val="21"/>
              </w:rPr>
              <w:t>坚持学校办学服务高端制造和产业高端，服务乡村振兴，完善专业群建设发展机制，优化专业预警和动态调整机制，提升人才培养质量。</w:t>
            </w:r>
          </w:p>
        </w:tc>
        <w:tc>
          <w:tcPr>
            <w:tcW w:w="0" w:type="auto"/>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仿宋"/>
                <w:color w:val="000000"/>
                <w:szCs w:val="21"/>
              </w:rPr>
            </w:pPr>
            <w:r>
              <w:rPr>
                <w:rFonts w:hint="eastAsia" w:ascii="仿宋" w:hAnsi="仿宋" w:eastAsia="仿宋" w:cs="仿宋"/>
                <w:color w:val="000000"/>
                <w:szCs w:val="21"/>
              </w:rPr>
              <w:t>坚持办学定位，突出理工科特色，确保专业设置100%匹配区域经济发展，做好专业群和专业的动态调整。</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Cs w:val="21"/>
              </w:rPr>
            </w:pPr>
            <w:r>
              <w:rPr>
                <w:rFonts w:hint="eastAsia" w:ascii="仿宋" w:hAnsi="仿宋" w:eastAsia="仿宋" w:cs="仿宋"/>
                <w:color w:val="000000"/>
                <w:szCs w:val="21"/>
              </w:rPr>
              <w:t>0</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Cs w:val="21"/>
              </w:rPr>
            </w:pPr>
            <w:r>
              <w:rPr>
                <w:rFonts w:hint="eastAsia" w:ascii="仿宋" w:hAnsi="仿宋" w:eastAsia="仿宋" w:cs="仿宋"/>
                <w:color w:val="000000"/>
                <w:szCs w:val="21"/>
              </w:rPr>
              <w:t>3</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Cs w:val="21"/>
              </w:rPr>
            </w:pPr>
            <w:r>
              <w:rPr>
                <w:rFonts w:hint="eastAsia" w:ascii="仿宋" w:hAnsi="仿宋" w:eastAsia="仿宋" w:cs="仿宋"/>
                <w:color w:val="000000"/>
                <w:szCs w:val="21"/>
              </w:rPr>
              <w:t>3</w:t>
            </w:r>
          </w:p>
        </w:tc>
      </w:tr>
    </w:tbl>
    <w:p/>
    <w:p>
      <w:pPr>
        <w:pStyle w:val="4"/>
      </w:pPr>
      <w:bookmarkStart w:id="43" w:name="_Toc164347839"/>
      <w:r>
        <w:rPr>
          <w:rFonts w:hint="eastAsia"/>
        </w:rPr>
        <w:t>2.</w:t>
      </w:r>
      <w:bookmarkStart w:id="44" w:name="_Toc14745"/>
      <w:r>
        <w:rPr>
          <w:rFonts w:hint="eastAsia"/>
        </w:rPr>
        <w:fldChar w:fldCharType="begin"/>
      </w:r>
      <w:r>
        <w:instrText xml:space="preserve"> HYPERLINK \l "_Toc4589" </w:instrText>
      </w:r>
      <w:r>
        <w:rPr>
          <w:rFonts w:hint="eastAsia"/>
        </w:rPr>
        <w:fldChar w:fldCharType="separate"/>
      </w:r>
      <w:r>
        <w:rPr>
          <w:rFonts w:hint="eastAsia"/>
        </w:rPr>
        <w:t>中高本贯通培养项目</w:t>
      </w:r>
      <w:bookmarkEnd w:id="43"/>
      <w:r>
        <w:rPr>
          <w:rFonts w:hint="eastAsia"/>
        </w:rPr>
        <w:fldChar w:fldCharType="end"/>
      </w:r>
      <w:bookmarkEnd w:id="44"/>
    </w:p>
    <w:p>
      <w:pPr>
        <w:keepNext/>
        <w:keepLines/>
        <w:spacing w:line="540" w:lineRule="exact"/>
        <w:ind w:firstLine="562" w:firstLineChars="200"/>
        <w:outlineLvl w:val="3"/>
        <w:rPr>
          <w:rFonts w:ascii="Times New Roman" w:hAnsi="Times New Roman" w:eastAsia="仿宋"/>
          <w:b/>
          <w:sz w:val="28"/>
          <w:szCs w:val="28"/>
        </w:rPr>
      </w:pPr>
      <w:r>
        <w:rPr>
          <w:rFonts w:hint="eastAsia" w:ascii="Times New Roman" w:hAnsi="Times New Roman" w:eastAsia="仿宋"/>
          <w:b/>
          <w:sz w:val="28"/>
          <w:szCs w:val="28"/>
        </w:rPr>
        <w:t>（1）必要性和可行性</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中高本贯通建设项目是中等职业教育、高等职业教育和普通本科高等教育的结合，学生先在中职学习三年，然后通过考试进入高等职业学院学习两年，最终进入本科院校获得本科学历。学校开展中高职贯通的必要性在于：</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① 满足经济和行业产业发展需求。中高本贯通项目可以培养符合我省及国家经济和行业产业发展需求的急需专业人才。</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② 提高学生综合素质和创新能力。在本科阶段，学生更加注重理论学习和科学研究，培养创新能力和综合素质；在中、高职期间，学生主要学习职业技能和相关专业知识，培养实际工作能力。</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③ 加强职业教育体系建设。中高本贯通项目可以实现中职、高职、本科之间的教育路径贯通，加强职业教育体系的建设。</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中高本贯通项目的可行性在于：</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① 政策支持。国家对职业教育的发展给予了大力支持，中高本贯通项目也得到了省教育厅的认可和推动。</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② 学校支持。许多本科院校、高职院校和中职学校都开展了贯通培养项目，提供了多样化的人才培养模式，为学生提供了更多的选择。</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③ 学生需求。学生可以根据自己的兴趣和职业规划选择适合自己的专业领域，如工程学、商务管理、信息技术、医学等等。</w:t>
      </w:r>
    </w:p>
    <w:p>
      <w:pPr>
        <w:keepNext/>
        <w:keepLines/>
        <w:spacing w:line="540" w:lineRule="exact"/>
        <w:ind w:firstLine="562" w:firstLineChars="200"/>
        <w:outlineLvl w:val="3"/>
        <w:rPr>
          <w:rFonts w:ascii="Times New Roman" w:hAnsi="Times New Roman" w:eastAsia="仿宋"/>
          <w:b/>
          <w:sz w:val="28"/>
          <w:szCs w:val="28"/>
        </w:rPr>
      </w:pPr>
      <w:r>
        <w:rPr>
          <w:rFonts w:hint="eastAsia" w:ascii="Times New Roman" w:hAnsi="Times New Roman" w:eastAsia="仿宋"/>
          <w:b/>
          <w:sz w:val="28"/>
          <w:szCs w:val="28"/>
        </w:rPr>
        <w:t>（2）拟解决的关键问题</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积极争取专本协同育人试点，力争个别专业在先期开展三二分段专升本协同育人培养基础上，试点参与四年制本科协同育人培养。</w:t>
      </w:r>
    </w:p>
    <w:p>
      <w:pPr>
        <w:spacing w:line="540" w:lineRule="exact"/>
        <w:ind w:firstLine="562" w:firstLineChars="200"/>
        <w:rPr>
          <w:rFonts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bCs/>
          <w:color w:val="000000" w:themeColor="text1"/>
          <w:sz w:val="28"/>
          <w:szCs w:val="28"/>
          <w14:textFill>
            <w14:solidFill>
              <w14:schemeClr w14:val="tx1"/>
            </w14:solidFill>
          </w14:textFill>
        </w:rPr>
        <w:t>① 建立与本科院校联合培养关系</w:t>
      </w:r>
    </w:p>
    <w:p>
      <w:pPr>
        <w:spacing w:line="54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 xml:space="preserve">在政策允许情况下积极寻求与各本科高校进行专本三二分段合作，争取先利用本校部分优势专业进行初步对接，待形成经验后进行各专业大面积推广。  </w:t>
      </w:r>
    </w:p>
    <w:p>
      <w:pPr>
        <w:spacing w:line="54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 xml:space="preserve">② </w:t>
      </w:r>
      <w:r>
        <w:rPr>
          <w:rFonts w:ascii="仿宋" w:hAnsi="仿宋" w:eastAsia="仿宋" w:cs="仿宋"/>
          <w:b/>
          <w:bCs/>
          <w:sz w:val="28"/>
          <w:szCs w:val="28"/>
        </w:rPr>
        <w:t>提高中高贯通培养质量</w:t>
      </w:r>
    </w:p>
    <w:p>
      <w:pPr>
        <w:spacing w:line="540" w:lineRule="exact"/>
        <w:ind w:firstLine="560" w:firstLineChars="200"/>
        <w:rPr>
          <w:rFonts w:ascii="仿宋" w:hAnsi="仿宋" w:eastAsia="仿宋" w:cs="仿宋"/>
          <w:sz w:val="28"/>
          <w:szCs w:val="28"/>
        </w:rPr>
      </w:pPr>
      <w:r>
        <w:rPr>
          <w:rFonts w:ascii="仿宋" w:hAnsi="仿宋" w:eastAsia="仿宋" w:cs="仿宋"/>
          <w:sz w:val="28"/>
          <w:szCs w:val="28"/>
        </w:rPr>
        <w:t>在增加名额的同时，本校将注重提高中高贯通培养的质量。通过优化课程设置、加强师资队伍建设、完善实践教学体系等措施，确保学生能够获得更加全面、系统的知识和技能，提升他们的综合素质和实践能力。</w:t>
      </w:r>
    </w:p>
    <w:p>
      <w:pPr>
        <w:spacing w:line="54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③ 完善加强实习就业指导工作</w:t>
      </w:r>
    </w:p>
    <w:p>
      <w:pPr>
        <w:spacing w:line="540" w:lineRule="exact"/>
        <w:ind w:firstLine="560" w:firstLineChars="200"/>
        <w:rPr>
          <w:rFonts w:ascii="仿宋" w:hAnsi="仿宋" w:eastAsia="仿宋" w:cs="仿宋"/>
          <w:sz w:val="28"/>
          <w:szCs w:val="28"/>
        </w:rPr>
      </w:pPr>
      <w:r>
        <w:rPr>
          <w:rFonts w:ascii="仿宋" w:hAnsi="仿宋" w:eastAsia="仿宋" w:cs="仿宋"/>
          <w:sz w:val="28"/>
          <w:szCs w:val="28"/>
        </w:rPr>
        <w:t>为了帮助学生更好地适应未来的职业环境，我们将加强实习就业指导工作，提供更为全面和专业的就业支持，助力学生顺利走上职业道路，实现个人价值和社会价值的双重提升。</w:t>
      </w:r>
    </w:p>
    <w:p>
      <w:pPr>
        <w:spacing w:line="54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 xml:space="preserve">④ </w:t>
      </w:r>
      <w:r>
        <w:rPr>
          <w:rFonts w:ascii="仿宋" w:hAnsi="仿宋" w:eastAsia="仿宋" w:cs="仿宋"/>
          <w:b/>
          <w:bCs/>
          <w:sz w:val="28"/>
          <w:szCs w:val="28"/>
        </w:rPr>
        <w:t>加强与企业的合作与交流</w:t>
      </w:r>
    </w:p>
    <w:p>
      <w:pPr>
        <w:spacing w:line="540" w:lineRule="exact"/>
        <w:ind w:firstLine="560" w:firstLineChars="200"/>
        <w:rPr>
          <w:rFonts w:ascii="仿宋" w:hAnsi="仿宋" w:eastAsia="仿宋" w:cs="仿宋"/>
          <w:sz w:val="28"/>
          <w:szCs w:val="28"/>
        </w:rPr>
      </w:pPr>
      <w:r>
        <w:rPr>
          <w:rFonts w:ascii="仿宋" w:hAnsi="仿宋" w:eastAsia="仿宋" w:cs="仿宋"/>
          <w:sz w:val="28"/>
          <w:szCs w:val="28"/>
        </w:rPr>
        <w:t>为了更好地适应市场需求，本校将积极与企业进行合作与交流，了解企业对人才的需求和要求，及时调整培养计划和课程设置。同时，通过校企合作、实习实训等方式，为学生提供更多实践机会和就业渠道。</w:t>
      </w:r>
    </w:p>
    <w:p>
      <w:pPr>
        <w:keepNext/>
        <w:keepLines/>
        <w:spacing w:line="540" w:lineRule="exact"/>
        <w:ind w:firstLine="562" w:firstLineChars="200"/>
        <w:outlineLvl w:val="3"/>
        <w:rPr>
          <w:rFonts w:ascii="Times New Roman" w:hAnsi="Times New Roman" w:eastAsia="仿宋"/>
          <w:b/>
          <w:sz w:val="28"/>
          <w:szCs w:val="28"/>
        </w:rPr>
      </w:pPr>
      <w:r>
        <w:rPr>
          <w:rFonts w:hint="eastAsia" w:ascii="Times New Roman" w:hAnsi="Times New Roman" w:eastAsia="仿宋"/>
          <w:b/>
          <w:sz w:val="28"/>
          <w:szCs w:val="28"/>
        </w:rPr>
        <w:t>（3）建设目标</w:t>
      </w:r>
    </w:p>
    <w:p>
      <w:pPr>
        <w:spacing w:line="54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积极争取专本协同育人试点，力争个别专业在先期开展三二分段专升本协同育人培养基础上，试点参与四年制本科协同育人培养。建立中高本纵向贯通的职业教育培养体系，打造优质中职专业，建设高水平高职院校和高水平专业群，支持建设职业本科院校和专业；推动教育链和产业链有效融合，设计符合岗位能力要求的课程体系，实现技能和知识的有效衔接，开展长学制贯通培养探索。推进职业教育提质培优，提高职业教育的影响力和综合实力，推动职业教育得到长足发展。</w:t>
      </w:r>
    </w:p>
    <w:p>
      <w:pPr>
        <w:keepNext/>
        <w:keepLines/>
        <w:spacing w:line="540" w:lineRule="exact"/>
        <w:ind w:firstLine="562" w:firstLineChars="200"/>
        <w:outlineLvl w:val="3"/>
        <w:rPr>
          <w:rFonts w:ascii="Times New Roman" w:hAnsi="Times New Roman" w:eastAsia="仿宋"/>
          <w:b/>
          <w:sz w:val="28"/>
          <w:szCs w:val="28"/>
        </w:rPr>
      </w:pPr>
      <w:r>
        <w:rPr>
          <w:rFonts w:hint="eastAsia" w:ascii="Times New Roman" w:hAnsi="Times New Roman" w:eastAsia="仿宋"/>
          <w:b/>
          <w:sz w:val="28"/>
          <w:szCs w:val="28"/>
        </w:rPr>
        <w:t>（4）重点建设任务</w:t>
      </w:r>
    </w:p>
    <w:p>
      <w:pPr>
        <w:spacing w:line="54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 xml:space="preserve">① </w:t>
      </w:r>
      <w:r>
        <w:rPr>
          <w:rFonts w:ascii="仿宋" w:hAnsi="仿宋" w:eastAsia="仿宋" w:cs="仿宋"/>
          <w:b/>
          <w:bCs/>
          <w:sz w:val="28"/>
          <w:szCs w:val="28"/>
        </w:rPr>
        <w:t>加强课程体系建设</w:t>
      </w:r>
    </w:p>
    <w:p>
      <w:pPr>
        <w:spacing w:line="540" w:lineRule="exact"/>
        <w:ind w:firstLine="560" w:firstLineChars="200"/>
        <w:rPr>
          <w:rFonts w:ascii="仿宋" w:hAnsi="仿宋" w:eastAsia="仿宋" w:cs="仿宋"/>
          <w:sz w:val="28"/>
          <w:szCs w:val="28"/>
        </w:rPr>
      </w:pPr>
      <w:r>
        <w:rPr>
          <w:rFonts w:ascii="仿宋" w:hAnsi="仿宋" w:eastAsia="仿宋" w:cs="仿宋"/>
          <w:sz w:val="28"/>
          <w:szCs w:val="28"/>
        </w:rPr>
        <w:t>优化课程设置：结合国家课程标准和行业需求，对现有课程进行梳理和优化，确保课程内容既符合学术要求，又贴近实际应用。</w:t>
      </w:r>
    </w:p>
    <w:p>
      <w:pPr>
        <w:spacing w:line="540" w:lineRule="exact"/>
        <w:ind w:firstLine="560" w:firstLineChars="200"/>
        <w:rPr>
          <w:rFonts w:ascii="仿宋" w:hAnsi="仿宋" w:eastAsia="仿宋" w:cs="仿宋"/>
          <w:sz w:val="28"/>
          <w:szCs w:val="28"/>
        </w:rPr>
      </w:pPr>
      <w:r>
        <w:rPr>
          <w:rFonts w:ascii="仿宋" w:hAnsi="仿宋" w:eastAsia="仿宋" w:cs="仿宋"/>
          <w:sz w:val="28"/>
          <w:szCs w:val="28"/>
        </w:rPr>
        <w:t>强化实践教学：增加实验、实训等实践教学环节，提高学生的动手能力和解决问题的能力。</w:t>
      </w:r>
    </w:p>
    <w:p>
      <w:pPr>
        <w:spacing w:line="540" w:lineRule="exact"/>
        <w:ind w:firstLine="560" w:firstLineChars="200"/>
        <w:rPr>
          <w:rFonts w:ascii="仿宋" w:hAnsi="仿宋" w:eastAsia="仿宋" w:cs="仿宋"/>
          <w:sz w:val="28"/>
          <w:szCs w:val="28"/>
        </w:rPr>
      </w:pPr>
      <w:r>
        <w:rPr>
          <w:rFonts w:ascii="仿宋" w:hAnsi="仿宋" w:eastAsia="仿宋" w:cs="仿宋"/>
          <w:sz w:val="28"/>
          <w:szCs w:val="28"/>
        </w:rPr>
        <w:t>构建特色课程：根据学校定位和人才培养目标，打造一批具有特色的课程，形成独特的教学风格。</w:t>
      </w:r>
    </w:p>
    <w:p>
      <w:pPr>
        <w:spacing w:line="54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 xml:space="preserve">② </w:t>
      </w:r>
      <w:r>
        <w:rPr>
          <w:rFonts w:ascii="仿宋" w:hAnsi="仿宋" w:eastAsia="仿宋" w:cs="仿宋"/>
          <w:b/>
          <w:bCs/>
          <w:sz w:val="28"/>
          <w:szCs w:val="28"/>
        </w:rPr>
        <w:t>完善师资队伍</w:t>
      </w:r>
    </w:p>
    <w:p>
      <w:pPr>
        <w:spacing w:line="540" w:lineRule="exact"/>
        <w:ind w:firstLine="560" w:firstLineChars="200"/>
        <w:rPr>
          <w:rFonts w:ascii="仿宋" w:hAnsi="仿宋" w:eastAsia="仿宋" w:cs="仿宋"/>
          <w:sz w:val="28"/>
          <w:szCs w:val="28"/>
        </w:rPr>
      </w:pPr>
      <w:r>
        <w:rPr>
          <w:rFonts w:ascii="仿宋" w:hAnsi="仿宋" w:eastAsia="仿宋" w:cs="仿宋"/>
          <w:sz w:val="28"/>
          <w:szCs w:val="28"/>
        </w:rPr>
        <w:t>加强教师培训：定期组织教师参加各类培训和学习，提高教师的教育教学水平。</w:t>
      </w:r>
    </w:p>
    <w:p>
      <w:pPr>
        <w:spacing w:line="540" w:lineRule="exact"/>
        <w:ind w:firstLine="560" w:firstLineChars="200"/>
        <w:rPr>
          <w:rFonts w:ascii="仿宋" w:hAnsi="仿宋" w:eastAsia="仿宋" w:cs="仿宋"/>
          <w:sz w:val="28"/>
          <w:szCs w:val="28"/>
        </w:rPr>
      </w:pPr>
      <w:r>
        <w:rPr>
          <w:rFonts w:ascii="仿宋" w:hAnsi="仿宋" w:eastAsia="仿宋" w:cs="仿宋"/>
          <w:sz w:val="28"/>
          <w:szCs w:val="28"/>
        </w:rPr>
        <w:t>引进优秀人才：积极引进国内外优秀人才，丰富教师队伍结构，提高整体教学水平。</w:t>
      </w:r>
    </w:p>
    <w:p>
      <w:pPr>
        <w:spacing w:line="540" w:lineRule="exact"/>
        <w:ind w:firstLine="560" w:firstLineChars="200"/>
        <w:rPr>
          <w:rFonts w:ascii="仿宋" w:hAnsi="仿宋" w:eastAsia="仿宋" w:cs="仿宋"/>
          <w:sz w:val="28"/>
          <w:szCs w:val="28"/>
        </w:rPr>
      </w:pPr>
      <w:r>
        <w:rPr>
          <w:rFonts w:ascii="仿宋" w:hAnsi="仿宋" w:eastAsia="仿宋" w:cs="仿宋"/>
          <w:sz w:val="28"/>
          <w:szCs w:val="28"/>
        </w:rPr>
        <w:t>建立激励机制：完善教师评价和激励机制，激发教师的工作热情和创新能力。</w:t>
      </w:r>
    </w:p>
    <w:p>
      <w:pPr>
        <w:spacing w:line="54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 xml:space="preserve">③ </w:t>
      </w:r>
      <w:r>
        <w:rPr>
          <w:rFonts w:ascii="仿宋" w:hAnsi="仿宋" w:eastAsia="仿宋" w:cs="仿宋"/>
          <w:b/>
          <w:bCs/>
          <w:sz w:val="28"/>
          <w:szCs w:val="28"/>
        </w:rPr>
        <w:t>强化校企合作</w:t>
      </w:r>
    </w:p>
    <w:p>
      <w:pPr>
        <w:spacing w:line="540" w:lineRule="exact"/>
        <w:ind w:firstLine="560" w:firstLineChars="200"/>
        <w:rPr>
          <w:rFonts w:ascii="仿宋" w:hAnsi="仿宋" w:eastAsia="仿宋" w:cs="仿宋"/>
          <w:sz w:val="28"/>
          <w:szCs w:val="28"/>
        </w:rPr>
      </w:pPr>
      <w:r>
        <w:rPr>
          <w:rFonts w:ascii="仿宋" w:hAnsi="仿宋" w:eastAsia="仿宋" w:cs="仿宋"/>
          <w:sz w:val="28"/>
          <w:szCs w:val="28"/>
        </w:rPr>
        <w:t>拓展合作领域：积极与企业、行业合作，共同开展人才培养、科研等项目，实现资源共享、优势互补。</w:t>
      </w:r>
    </w:p>
    <w:p>
      <w:pPr>
        <w:spacing w:line="540" w:lineRule="exact"/>
        <w:ind w:firstLine="560" w:firstLineChars="200"/>
        <w:rPr>
          <w:rFonts w:ascii="仿宋" w:hAnsi="仿宋" w:eastAsia="仿宋" w:cs="仿宋"/>
          <w:sz w:val="28"/>
          <w:szCs w:val="28"/>
        </w:rPr>
      </w:pPr>
      <w:r>
        <w:rPr>
          <w:rFonts w:ascii="仿宋" w:hAnsi="仿宋" w:eastAsia="仿宋" w:cs="仿宋"/>
          <w:sz w:val="28"/>
          <w:szCs w:val="28"/>
        </w:rPr>
        <w:t>建立实习实训基地：在企业建立实习实训基地，为学生提供更多实践机会，增强实践能力。</w:t>
      </w:r>
    </w:p>
    <w:p>
      <w:pPr>
        <w:spacing w:line="540" w:lineRule="exact"/>
        <w:ind w:firstLine="560" w:firstLineChars="200"/>
        <w:rPr>
          <w:rFonts w:ascii="仿宋" w:hAnsi="仿宋" w:eastAsia="仿宋" w:cs="仿宋"/>
          <w:sz w:val="28"/>
          <w:szCs w:val="28"/>
        </w:rPr>
      </w:pPr>
      <w:r>
        <w:rPr>
          <w:rFonts w:ascii="仿宋" w:hAnsi="仿宋" w:eastAsia="仿宋" w:cs="仿宋"/>
          <w:sz w:val="28"/>
          <w:szCs w:val="28"/>
        </w:rPr>
        <w:t>促进产学研合作：加强学校与企业的产学研合作，推动科技成果的转化和应用。</w:t>
      </w:r>
    </w:p>
    <w:p>
      <w:pPr>
        <w:spacing w:line="54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 xml:space="preserve">④ </w:t>
      </w:r>
      <w:r>
        <w:rPr>
          <w:rFonts w:ascii="仿宋" w:hAnsi="仿宋" w:eastAsia="仿宋" w:cs="仿宋"/>
          <w:b/>
          <w:bCs/>
          <w:sz w:val="28"/>
          <w:szCs w:val="28"/>
        </w:rPr>
        <w:t>创新培养模式</w:t>
      </w:r>
    </w:p>
    <w:p>
      <w:pPr>
        <w:spacing w:line="540" w:lineRule="exact"/>
        <w:ind w:firstLine="560" w:firstLineChars="200"/>
        <w:rPr>
          <w:rFonts w:ascii="仿宋" w:hAnsi="仿宋" w:eastAsia="仿宋" w:cs="仿宋"/>
          <w:sz w:val="28"/>
          <w:szCs w:val="28"/>
        </w:rPr>
      </w:pPr>
      <w:r>
        <w:rPr>
          <w:rFonts w:ascii="仿宋" w:hAnsi="仿宋" w:eastAsia="仿宋" w:cs="仿宋"/>
          <w:sz w:val="28"/>
          <w:szCs w:val="28"/>
        </w:rPr>
        <w:t>实施学分制改革：探索学分制改革，允许学生根据兴趣和职业规划选择课程，提高学习的灵活性和自主性。</w:t>
      </w:r>
    </w:p>
    <w:p>
      <w:pPr>
        <w:spacing w:line="540" w:lineRule="exact"/>
        <w:ind w:firstLine="560" w:firstLineChars="200"/>
        <w:rPr>
          <w:rFonts w:ascii="仿宋" w:hAnsi="仿宋" w:eastAsia="仿宋" w:cs="仿宋"/>
          <w:sz w:val="28"/>
          <w:szCs w:val="28"/>
        </w:rPr>
      </w:pPr>
      <w:r>
        <w:rPr>
          <w:rFonts w:ascii="仿宋" w:hAnsi="仿宋" w:eastAsia="仿宋" w:cs="仿宋"/>
          <w:sz w:val="28"/>
          <w:szCs w:val="28"/>
        </w:rPr>
        <w:t>开展分段培养：根据中高贯通培养的要求，分阶段设置培养目标，确保学生在不同阶段都能获得有效</w:t>
      </w:r>
      <w:r>
        <w:rPr>
          <w:rFonts w:hint="eastAsia" w:ascii="仿宋" w:hAnsi="仿宋" w:eastAsia="仿宋" w:cs="仿宋"/>
          <w:sz w:val="28"/>
          <w:szCs w:val="28"/>
        </w:rPr>
        <w:t>地</w:t>
      </w:r>
      <w:r>
        <w:rPr>
          <w:rFonts w:ascii="仿宋" w:hAnsi="仿宋" w:eastAsia="仿宋" w:cs="仿宋"/>
          <w:sz w:val="28"/>
          <w:szCs w:val="28"/>
        </w:rPr>
        <w:t>发展。</w:t>
      </w:r>
    </w:p>
    <w:p>
      <w:pPr>
        <w:spacing w:line="540" w:lineRule="exact"/>
        <w:ind w:firstLine="560" w:firstLineChars="200"/>
        <w:rPr>
          <w:rFonts w:ascii="仿宋" w:hAnsi="仿宋" w:eastAsia="仿宋" w:cs="仿宋"/>
          <w:sz w:val="28"/>
          <w:szCs w:val="28"/>
        </w:rPr>
      </w:pPr>
      <w:r>
        <w:rPr>
          <w:rFonts w:ascii="仿宋" w:hAnsi="仿宋" w:eastAsia="仿宋" w:cs="仿宋"/>
          <w:sz w:val="28"/>
          <w:szCs w:val="28"/>
        </w:rPr>
        <w:t>强化综合素质教育：注重培养学生的综合素质，包括创新能力、团队协作能力、沟通能力等，使学生更好地适应社会发展需求。</w:t>
      </w:r>
    </w:p>
    <w:p>
      <w:pPr>
        <w:spacing w:line="54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 xml:space="preserve">⑤ </w:t>
      </w:r>
      <w:r>
        <w:rPr>
          <w:rFonts w:ascii="仿宋" w:hAnsi="仿宋" w:eastAsia="仿宋" w:cs="仿宋"/>
          <w:b/>
          <w:bCs/>
          <w:sz w:val="28"/>
          <w:szCs w:val="28"/>
        </w:rPr>
        <w:t>加强质量监控与评估</w:t>
      </w:r>
    </w:p>
    <w:p>
      <w:pPr>
        <w:spacing w:line="540" w:lineRule="exact"/>
        <w:ind w:firstLine="560" w:firstLineChars="200"/>
        <w:rPr>
          <w:rFonts w:ascii="仿宋" w:hAnsi="仿宋" w:eastAsia="仿宋" w:cs="仿宋"/>
          <w:sz w:val="28"/>
          <w:szCs w:val="28"/>
        </w:rPr>
      </w:pPr>
      <w:r>
        <w:rPr>
          <w:rFonts w:ascii="仿宋" w:hAnsi="仿宋" w:eastAsia="仿宋" w:cs="仿宋"/>
          <w:sz w:val="28"/>
          <w:szCs w:val="28"/>
        </w:rPr>
        <w:t>建立完善的质量监控体系：对教学过程、学生学习成果等进行全面监控，确保教学质量。</w:t>
      </w:r>
    </w:p>
    <w:p>
      <w:pPr>
        <w:spacing w:line="540" w:lineRule="exact"/>
        <w:ind w:firstLine="560" w:firstLineChars="200"/>
        <w:rPr>
          <w:rFonts w:ascii="仿宋" w:hAnsi="仿宋" w:eastAsia="仿宋" w:cs="仿宋"/>
          <w:sz w:val="28"/>
          <w:szCs w:val="28"/>
        </w:rPr>
      </w:pPr>
      <w:r>
        <w:rPr>
          <w:rFonts w:ascii="仿宋" w:hAnsi="仿宋" w:eastAsia="仿宋" w:cs="仿宋"/>
          <w:sz w:val="28"/>
          <w:szCs w:val="28"/>
        </w:rPr>
        <w:t>定期开展评估工作：对学校的教育教学工作进行定期评估，发现问题及时整改，提高教育质量。</w:t>
      </w:r>
    </w:p>
    <w:p>
      <w:pPr>
        <w:spacing w:line="540" w:lineRule="exact"/>
        <w:ind w:firstLine="560" w:firstLineChars="200"/>
        <w:rPr>
          <w:rFonts w:ascii="仿宋" w:hAnsi="仿宋" w:eastAsia="仿宋" w:cs="仿宋"/>
          <w:sz w:val="28"/>
          <w:szCs w:val="28"/>
        </w:rPr>
      </w:pPr>
      <w:r>
        <w:rPr>
          <w:rFonts w:ascii="仿宋" w:hAnsi="仿宋" w:eastAsia="仿宋" w:cs="仿宋"/>
          <w:sz w:val="28"/>
          <w:szCs w:val="28"/>
        </w:rPr>
        <w:t>鼓励社会参与评价：积极邀请社会参与学校教育教学评价，增强评价的客观性和公正性。</w:t>
      </w:r>
    </w:p>
    <w:p>
      <w:pPr>
        <w:spacing w:line="54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 xml:space="preserve">⑥ </w:t>
      </w:r>
      <w:r>
        <w:rPr>
          <w:rFonts w:ascii="仿宋" w:hAnsi="仿宋" w:eastAsia="仿宋" w:cs="仿宋"/>
          <w:b/>
          <w:bCs/>
          <w:sz w:val="28"/>
          <w:szCs w:val="28"/>
        </w:rPr>
        <w:t>加大投入与支持</w:t>
      </w:r>
    </w:p>
    <w:p>
      <w:pPr>
        <w:spacing w:line="540" w:lineRule="exact"/>
        <w:ind w:firstLine="560" w:firstLineChars="200"/>
        <w:rPr>
          <w:rFonts w:ascii="仿宋" w:hAnsi="仿宋" w:eastAsia="仿宋" w:cs="仿宋"/>
          <w:color w:val="000000" w:themeColor="text1"/>
          <w:sz w:val="28"/>
          <w:szCs w:val="28"/>
          <w14:textFill>
            <w14:solidFill>
              <w14:schemeClr w14:val="tx1"/>
            </w14:solidFill>
          </w14:textFill>
        </w:rPr>
      </w:pPr>
      <w:r>
        <w:rPr>
          <w:rFonts w:ascii="仿宋" w:hAnsi="仿宋" w:eastAsia="仿宋" w:cs="仿宋"/>
          <w:color w:val="000000" w:themeColor="text1"/>
          <w:sz w:val="28"/>
          <w:szCs w:val="28"/>
          <w14:textFill>
            <w14:solidFill>
              <w14:schemeClr w14:val="tx1"/>
            </w14:solidFill>
          </w14:textFill>
        </w:rPr>
        <w:t>增加经费投入：加大对中高</w:t>
      </w:r>
      <w:r>
        <w:rPr>
          <w:rFonts w:hint="eastAsia" w:ascii="仿宋" w:hAnsi="仿宋" w:eastAsia="仿宋" w:cs="仿宋"/>
          <w:color w:val="000000" w:themeColor="text1"/>
          <w:sz w:val="28"/>
          <w:szCs w:val="28"/>
          <w14:textFill>
            <w14:solidFill>
              <w14:schemeClr w14:val="tx1"/>
            </w14:solidFill>
          </w14:textFill>
        </w:rPr>
        <w:t>本</w:t>
      </w:r>
      <w:r>
        <w:rPr>
          <w:rFonts w:ascii="仿宋" w:hAnsi="仿宋" w:eastAsia="仿宋" w:cs="仿宋"/>
          <w:color w:val="000000" w:themeColor="text1"/>
          <w:sz w:val="28"/>
          <w:szCs w:val="28"/>
          <w14:textFill>
            <w14:solidFill>
              <w14:schemeClr w14:val="tx1"/>
            </w14:solidFill>
          </w14:textFill>
        </w:rPr>
        <w:t>贯通培养计划的经费投入，确保各项工作的顺利开展。</w:t>
      </w:r>
    </w:p>
    <w:p>
      <w:pPr>
        <w:spacing w:line="540" w:lineRule="exact"/>
        <w:ind w:firstLine="560" w:firstLineChars="200"/>
        <w:rPr>
          <w:rFonts w:ascii="仿宋" w:hAnsi="仿宋" w:eastAsia="仿宋" w:cs="仿宋"/>
          <w:color w:val="000000" w:themeColor="text1"/>
          <w:sz w:val="28"/>
          <w:szCs w:val="28"/>
          <w14:textFill>
            <w14:solidFill>
              <w14:schemeClr w14:val="tx1"/>
            </w14:solidFill>
          </w14:textFill>
        </w:rPr>
      </w:pPr>
      <w:r>
        <w:rPr>
          <w:rFonts w:ascii="仿宋" w:hAnsi="仿宋" w:eastAsia="仿宋" w:cs="仿宋"/>
          <w:color w:val="000000" w:themeColor="text1"/>
          <w:sz w:val="28"/>
          <w:szCs w:val="28"/>
          <w14:textFill>
            <w14:solidFill>
              <w14:schemeClr w14:val="tx1"/>
            </w14:solidFill>
          </w14:textFill>
        </w:rPr>
        <w:t>提供政策支持：制定相关政策，为中高</w:t>
      </w:r>
      <w:r>
        <w:rPr>
          <w:rFonts w:hint="eastAsia" w:ascii="仿宋" w:hAnsi="仿宋" w:eastAsia="仿宋" w:cs="仿宋"/>
          <w:color w:val="000000" w:themeColor="text1"/>
          <w:sz w:val="28"/>
          <w:szCs w:val="28"/>
          <w14:textFill>
            <w14:solidFill>
              <w14:schemeClr w14:val="tx1"/>
            </w14:solidFill>
          </w14:textFill>
        </w:rPr>
        <w:t>本</w:t>
      </w:r>
      <w:r>
        <w:rPr>
          <w:rFonts w:ascii="仿宋" w:hAnsi="仿宋" w:eastAsia="仿宋" w:cs="仿宋"/>
          <w:color w:val="000000" w:themeColor="text1"/>
          <w:sz w:val="28"/>
          <w:szCs w:val="28"/>
          <w14:textFill>
            <w14:solidFill>
              <w14:schemeClr w14:val="tx1"/>
            </w14:solidFill>
          </w14:textFill>
        </w:rPr>
        <w:t>贯通培养计划提供有力支持，如奖学金、助学金等。</w:t>
      </w:r>
    </w:p>
    <w:p>
      <w:pPr>
        <w:spacing w:line="540" w:lineRule="exact"/>
        <w:ind w:firstLine="560" w:firstLineChars="200"/>
        <w:rPr>
          <w:rFonts w:ascii="仿宋" w:hAnsi="仿宋" w:eastAsia="仿宋" w:cs="仿宋"/>
          <w:color w:val="000000" w:themeColor="text1"/>
          <w:sz w:val="28"/>
          <w:szCs w:val="28"/>
          <w14:textFill>
            <w14:solidFill>
              <w14:schemeClr w14:val="tx1"/>
            </w14:solidFill>
          </w14:textFill>
        </w:rPr>
      </w:pPr>
      <w:r>
        <w:rPr>
          <w:rFonts w:ascii="仿宋" w:hAnsi="仿宋" w:eastAsia="仿宋" w:cs="仿宋"/>
          <w:color w:val="000000" w:themeColor="text1"/>
          <w:sz w:val="28"/>
          <w:szCs w:val="28"/>
          <w14:textFill>
            <w14:solidFill>
              <w14:schemeClr w14:val="tx1"/>
            </w14:solidFill>
          </w14:textFill>
        </w:rPr>
        <w:t>加强宣传推广：通过各种渠道宣传中高</w:t>
      </w:r>
      <w:r>
        <w:rPr>
          <w:rFonts w:hint="eastAsia" w:ascii="仿宋" w:hAnsi="仿宋" w:eastAsia="仿宋" w:cs="仿宋"/>
          <w:color w:val="000000" w:themeColor="text1"/>
          <w:sz w:val="28"/>
          <w:szCs w:val="28"/>
          <w14:textFill>
            <w14:solidFill>
              <w14:schemeClr w14:val="tx1"/>
            </w14:solidFill>
          </w14:textFill>
        </w:rPr>
        <w:t>本</w:t>
      </w:r>
      <w:r>
        <w:rPr>
          <w:rFonts w:ascii="仿宋" w:hAnsi="仿宋" w:eastAsia="仿宋" w:cs="仿宋"/>
          <w:color w:val="000000" w:themeColor="text1"/>
          <w:sz w:val="28"/>
          <w:szCs w:val="28"/>
          <w14:textFill>
            <w14:solidFill>
              <w14:schemeClr w14:val="tx1"/>
            </w14:solidFill>
          </w14:textFill>
        </w:rPr>
        <w:t>贯通培养计划，提高社会对该计划的认知度和认可度。</w:t>
      </w:r>
    </w:p>
    <w:p>
      <w:pPr>
        <w:spacing w:line="540" w:lineRule="exact"/>
        <w:ind w:firstLine="560" w:firstLineChars="200"/>
        <w:rPr>
          <w:rFonts w:ascii="仿宋" w:hAnsi="仿宋" w:eastAsia="仿宋" w:cs="仿宋"/>
          <w:color w:val="000000" w:themeColor="text1"/>
          <w:sz w:val="28"/>
          <w:szCs w:val="28"/>
          <w14:textFill>
            <w14:solidFill>
              <w14:schemeClr w14:val="tx1"/>
            </w14:solidFill>
          </w14:textFill>
        </w:rPr>
      </w:pPr>
      <w:r>
        <w:rPr>
          <w:rFonts w:ascii="仿宋" w:hAnsi="仿宋" w:eastAsia="仿宋" w:cs="仿宋"/>
          <w:color w:val="000000" w:themeColor="text1"/>
          <w:sz w:val="28"/>
          <w:szCs w:val="28"/>
          <w14:textFill>
            <w14:solidFill>
              <w14:schemeClr w14:val="tx1"/>
            </w14:solidFill>
          </w14:textFill>
        </w:rPr>
        <w:t>通过以上措施的实施，我们有信心在2023年至2025年期间，进一步提升本校中高贯通培养三二分段计划的</w:t>
      </w:r>
      <w:r>
        <w:rPr>
          <w:rFonts w:hint="eastAsia" w:ascii="仿宋" w:hAnsi="仿宋" w:eastAsia="仿宋" w:cs="仿宋"/>
          <w:color w:val="000000" w:themeColor="text1"/>
          <w:sz w:val="28"/>
          <w:szCs w:val="28"/>
          <w14:textFill>
            <w14:solidFill>
              <w14:schemeClr w14:val="tx1"/>
            </w14:solidFill>
          </w14:textFill>
        </w:rPr>
        <w:t>人数、</w:t>
      </w:r>
      <w:r>
        <w:rPr>
          <w:rFonts w:ascii="仿宋" w:hAnsi="仿宋" w:eastAsia="仿宋" w:cs="仿宋"/>
          <w:color w:val="000000" w:themeColor="text1"/>
          <w:sz w:val="28"/>
          <w:szCs w:val="28"/>
          <w14:textFill>
            <w14:solidFill>
              <w14:schemeClr w14:val="tx1"/>
            </w14:solidFill>
          </w14:textFill>
        </w:rPr>
        <w:t>质量和水平，</w:t>
      </w:r>
      <w:r>
        <w:rPr>
          <w:rFonts w:hint="eastAsia" w:ascii="仿宋" w:hAnsi="仿宋" w:eastAsia="仿宋" w:cs="仿宋"/>
          <w:color w:val="000000" w:themeColor="text1"/>
          <w:sz w:val="28"/>
          <w:szCs w:val="28"/>
          <w14:textFill>
            <w14:solidFill>
              <w14:schemeClr w14:val="tx1"/>
            </w14:solidFill>
          </w14:textFill>
        </w:rPr>
        <w:t>争取与本科高校合作，建立高本三二分段合作办学机制。</w:t>
      </w:r>
      <w:r>
        <w:rPr>
          <w:rFonts w:ascii="仿宋" w:hAnsi="仿宋" w:eastAsia="仿宋" w:cs="仿宋"/>
          <w:color w:val="000000" w:themeColor="text1"/>
          <w:sz w:val="28"/>
          <w:szCs w:val="28"/>
          <w14:textFill>
            <w14:solidFill>
              <w14:schemeClr w14:val="tx1"/>
            </w14:solidFill>
          </w14:textFill>
        </w:rPr>
        <w:t>为学生的全面发展创造更多机会，为国家培养更多优秀人才贡献力量。</w:t>
      </w:r>
    </w:p>
    <w:p>
      <w:pPr>
        <w:keepNext/>
        <w:keepLines/>
        <w:spacing w:line="540" w:lineRule="exact"/>
        <w:ind w:firstLine="562" w:firstLineChars="200"/>
        <w:outlineLvl w:val="3"/>
        <w:rPr>
          <w:rFonts w:ascii="Times New Roman" w:hAnsi="Times New Roman" w:eastAsia="仿宋"/>
          <w:b/>
          <w:sz w:val="28"/>
          <w:szCs w:val="28"/>
        </w:rPr>
      </w:pPr>
      <w:r>
        <w:rPr>
          <w:rFonts w:hint="eastAsia" w:ascii="Times New Roman" w:hAnsi="Times New Roman" w:eastAsia="仿宋"/>
          <w:b/>
          <w:sz w:val="28"/>
          <w:szCs w:val="28"/>
        </w:rPr>
        <w:t>（5）建设计划</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3363"/>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1704" w:type="dxa"/>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年度</w:t>
            </w:r>
          </w:p>
        </w:tc>
        <w:tc>
          <w:tcPr>
            <w:tcW w:w="1704" w:type="dxa"/>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建设任务</w:t>
            </w:r>
          </w:p>
        </w:tc>
        <w:tc>
          <w:tcPr>
            <w:tcW w:w="3363" w:type="dxa"/>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建设内容</w:t>
            </w:r>
          </w:p>
        </w:tc>
        <w:tc>
          <w:tcPr>
            <w:tcW w:w="1559" w:type="dxa"/>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负责部门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restart"/>
            <w:vAlign w:val="center"/>
          </w:tcPr>
          <w:p>
            <w:pPr>
              <w:spacing w:line="260" w:lineRule="exact"/>
              <w:jc w:val="center"/>
              <w:rPr>
                <w:rFonts w:ascii="仿宋" w:hAnsi="仿宋" w:eastAsia="仿宋" w:cs="仿宋"/>
                <w:b/>
                <w:szCs w:val="21"/>
              </w:rPr>
            </w:pPr>
            <w:r>
              <w:rPr>
                <w:rFonts w:hint="eastAsia" w:ascii="仿宋" w:hAnsi="仿宋" w:eastAsia="仿宋" w:cs="仿宋"/>
                <w:b/>
                <w:szCs w:val="21"/>
              </w:rPr>
              <w:t>2023</w:t>
            </w:r>
          </w:p>
        </w:tc>
        <w:tc>
          <w:tcPr>
            <w:tcW w:w="1704"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加强课程体系建设</w:t>
            </w:r>
          </w:p>
        </w:tc>
        <w:tc>
          <w:tcPr>
            <w:tcW w:w="3363"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结合国家课程标准和行业需求，对现有课程进行梳理和优化，确保课程内容既符合学术要求，又贴近实际应用。</w:t>
            </w:r>
          </w:p>
        </w:tc>
        <w:tc>
          <w:tcPr>
            <w:tcW w:w="1559"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教务处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continue"/>
            <w:vAlign w:val="center"/>
          </w:tcPr>
          <w:p>
            <w:pPr>
              <w:spacing w:line="260" w:lineRule="exact"/>
              <w:jc w:val="center"/>
              <w:rPr>
                <w:rFonts w:ascii="仿宋" w:hAnsi="仿宋" w:eastAsia="仿宋" w:cs="仿宋"/>
                <w:b/>
                <w:szCs w:val="21"/>
              </w:rPr>
            </w:pPr>
          </w:p>
        </w:tc>
        <w:tc>
          <w:tcPr>
            <w:tcW w:w="1704"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完善师资队伍</w:t>
            </w:r>
          </w:p>
        </w:tc>
        <w:tc>
          <w:tcPr>
            <w:tcW w:w="3363"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定期组织教师参加各类培训和学习，提高教师的教育教学水平。</w:t>
            </w:r>
          </w:p>
        </w:tc>
        <w:tc>
          <w:tcPr>
            <w:tcW w:w="1559"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人事处、教务处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continue"/>
            <w:vAlign w:val="center"/>
          </w:tcPr>
          <w:p>
            <w:pPr>
              <w:spacing w:line="260" w:lineRule="exact"/>
              <w:jc w:val="center"/>
              <w:rPr>
                <w:rFonts w:ascii="仿宋" w:hAnsi="仿宋" w:eastAsia="仿宋" w:cs="仿宋"/>
                <w:b/>
                <w:szCs w:val="21"/>
              </w:rPr>
            </w:pPr>
          </w:p>
        </w:tc>
        <w:tc>
          <w:tcPr>
            <w:tcW w:w="1704"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强化校企合作</w:t>
            </w:r>
          </w:p>
        </w:tc>
        <w:tc>
          <w:tcPr>
            <w:tcW w:w="3363"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拓展合作领域：积极与企业、行业合作，共同开展人才培养、科研等项目，实现资源共享、优势互补。</w:t>
            </w:r>
          </w:p>
        </w:tc>
        <w:tc>
          <w:tcPr>
            <w:tcW w:w="1559"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校企合作与实习就业处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continue"/>
            <w:vAlign w:val="center"/>
          </w:tcPr>
          <w:p>
            <w:pPr>
              <w:spacing w:line="260" w:lineRule="exact"/>
              <w:jc w:val="center"/>
              <w:rPr>
                <w:rFonts w:ascii="仿宋" w:hAnsi="仿宋" w:eastAsia="仿宋" w:cs="仿宋"/>
                <w:b/>
                <w:szCs w:val="21"/>
              </w:rPr>
            </w:pPr>
          </w:p>
        </w:tc>
        <w:tc>
          <w:tcPr>
            <w:tcW w:w="1704"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创新培养模式</w:t>
            </w:r>
          </w:p>
        </w:tc>
        <w:tc>
          <w:tcPr>
            <w:tcW w:w="3363"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实施学分制改革：探索学分制改革，允许学生根据兴趣和职业规划选择课程，提高学习的灵活性和自主性。</w:t>
            </w:r>
          </w:p>
        </w:tc>
        <w:tc>
          <w:tcPr>
            <w:tcW w:w="1559"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教务处、校企合作与实习就业处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continue"/>
            <w:vAlign w:val="center"/>
          </w:tcPr>
          <w:p>
            <w:pPr>
              <w:spacing w:line="260" w:lineRule="exact"/>
              <w:jc w:val="center"/>
              <w:rPr>
                <w:rFonts w:ascii="仿宋" w:hAnsi="仿宋" w:eastAsia="仿宋" w:cs="仿宋"/>
                <w:b/>
                <w:szCs w:val="21"/>
              </w:rPr>
            </w:pPr>
          </w:p>
        </w:tc>
        <w:tc>
          <w:tcPr>
            <w:tcW w:w="1704"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加强质量监控与评估</w:t>
            </w:r>
          </w:p>
        </w:tc>
        <w:tc>
          <w:tcPr>
            <w:tcW w:w="3363"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建立完善的质量监控体系：对教学过程、学生学习成果等进行全面监控，确保教学质量。</w:t>
            </w:r>
          </w:p>
        </w:tc>
        <w:tc>
          <w:tcPr>
            <w:tcW w:w="1559"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教学督导室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1704" w:type="dxa"/>
            <w:vMerge w:val="continue"/>
            <w:vAlign w:val="center"/>
          </w:tcPr>
          <w:p>
            <w:pPr>
              <w:spacing w:line="260" w:lineRule="exact"/>
              <w:jc w:val="center"/>
              <w:rPr>
                <w:rFonts w:ascii="仿宋" w:hAnsi="仿宋" w:eastAsia="仿宋" w:cs="仿宋"/>
                <w:b/>
                <w:szCs w:val="21"/>
              </w:rPr>
            </w:pPr>
          </w:p>
        </w:tc>
        <w:tc>
          <w:tcPr>
            <w:tcW w:w="1704"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加大投入与支持</w:t>
            </w:r>
          </w:p>
        </w:tc>
        <w:tc>
          <w:tcPr>
            <w:tcW w:w="3363"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加大对中高贯通培养计划的经费投入，确保各项工作的顺利开展。</w:t>
            </w:r>
          </w:p>
        </w:tc>
        <w:tc>
          <w:tcPr>
            <w:tcW w:w="1559"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财务处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restart"/>
            <w:vAlign w:val="center"/>
          </w:tcPr>
          <w:p>
            <w:pPr>
              <w:spacing w:line="260" w:lineRule="exact"/>
              <w:jc w:val="center"/>
              <w:rPr>
                <w:rFonts w:ascii="仿宋" w:hAnsi="仿宋" w:eastAsia="仿宋" w:cs="仿宋"/>
                <w:b/>
                <w:szCs w:val="21"/>
              </w:rPr>
            </w:pPr>
            <w:r>
              <w:rPr>
                <w:rFonts w:hint="eastAsia" w:ascii="仿宋" w:hAnsi="仿宋" w:eastAsia="仿宋" w:cs="仿宋"/>
                <w:b/>
                <w:szCs w:val="21"/>
              </w:rPr>
              <w:t>2024</w:t>
            </w:r>
          </w:p>
        </w:tc>
        <w:tc>
          <w:tcPr>
            <w:tcW w:w="1704"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加强课程体系建设</w:t>
            </w:r>
          </w:p>
        </w:tc>
        <w:tc>
          <w:tcPr>
            <w:tcW w:w="3363"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增加实验、实训等实践教学环节，提高学生的动手能力和解决问题的能力。</w:t>
            </w:r>
          </w:p>
        </w:tc>
        <w:tc>
          <w:tcPr>
            <w:tcW w:w="1559"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教务处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continue"/>
            <w:vAlign w:val="center"/>
          </w:tcPr>
          <w:p>
            <w:pPr>
              <w:spacing w:line="260" w:lineRule="exact"/>
              <w:jc w:val="center"/>
              <w:rPr>
                <w:rFonts w:ascii="仿宋" w:hAnsi="仿宋" w:eastAsia="仿宋" w:cs="仿宋"/>
                <w:b/>
                <w:szCs w:val="21"/>
              </w:rPr>
            </w:pPr>
          </w:p>
        </w:tc>
        <w:tc>
          <w:tcPr>
            <w:tcW w:w="1704"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完善师资队伍</w:t>
            </w:r>
          </w:p>
        </w:tc>
        <w:tc>
          <w:tcPr>
            <w:tcW w:w="3363"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积极引进国内外优秀人才，丰富教师队伍结构，提高整体教学水平。</w:t>
            </w:r>
          </w:p>
        </w:tc>
        <w:tc>
          <w:tcPr>
            <w:tcW w:w="1559"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人事处、教务处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continue"/>
            <w:vAlign w:val="center"/>
          </w:tcPr>
          <w:p>
            <w:pPr>
              <w:spacing w:line="260" w:lineRule="exact"/>
              <w:jc w:val="center"/>
              <w:rPr>
                <w:rFonts w:ascii="仿宋" w:hAnsi="仿宋" w:eastAsia="仿宋" w:cs="仿宋"/>
                <w:b/>
                <w:szCs w:val="21"/>
              </w:rPr>
            </w:pPr>
          </w:p>
        </w:tc>
        <w:tc>
          <w:tcPr>
            <w:tcW w:w="1704"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强化校企合作</w:t>
            </w:r>
          </w:p>
        </w:tc>
        <w:tc>
          <w:tcPr>
            <w:tcW w:w="3363"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在企业建立实习实训基地，为学生提供更多实践机会，增强实践能力。</w:t>
            </w:r>
          </w:p>
        </w:tc>
        <w:tc>
          <w:tcPr>
            <w:tcW w:w="1559"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校企合作与实习就业处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continue"/>
            <w:vAlign w:val="center"/>
          </w:tcPr>
          <w:p>
            <w:pPr>
              <w:spacing w:line="260" w:lineRule="exact"/>
              <w:jc w:val="center"/>
              <w:rPr>
                <w:rFonts w:ascii="仿宋" w:hAnsi="仿宋" w:eastAsia="仿宋" w:cs="仿宋"/>
                <w:b/>
                <w:szCs w:val="21"/>
              </w:rPr>
            </w:pPr>
          </w:p>
        </w:tc>
        <w:tc>
          <w:tcPr>
            <w:tcW w:w="1704"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创新培养模式</w:t>
            </w:r>
          </w:p>
        </w:tc>
        <w:tc>
          <w:tcPr>
            <w:tcW w:w="3363"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注重培养学生的综合素质，包括创新能力、团队协作能力、沟通能力等，使学生更好地适应社会发展需求。</w:t>
            </w:r>
          </w:p>
        </w:tc>
        <w:tc>
          <w:tcPr>
            <w:tcW w:w="1559"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教务处、校企合作与实习就业处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continue"/>
            <w:vAlign w:val="center"/>
          </w:tcPr>
          <w:p>
            <w:pPr>
              <w:spacing w:line="260" w:lineRule="exact"/>
              <w:jc w:val="center"/>
              <w:rPr>
                <w:rFonts w:ascii="仿宋" w:hAnsi="仿宋" w:eastAsia="仿宋" w:cs="仿宋"/>
                <w:b/>
                <w:szCs w:val="21"/>
              </w:rPr>
            </w:pPr>
          </w:p>
        </w:tc>
        <w:tc>
          <w:tcPr>
            <w:tcW w:w="1704"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加强质量监控与评估</w:t>
            </w:r>
          </w:p>
        </w:tc>
        <w:tc>
          <w:tcPr>
            <w:tcW w:w="3363"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对学校的教育教学工作进行定期评估，发现问题及时整改，提高教育质量。</w:t>
            </w:r>
          </w:p>
        </w:tc>
        <w:tc>
          <w:tcPr>
            <w:tcW w:w="1559"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教学督导室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continue"/>
            <w:vAlign w:val="center"/>
          </w:tcPr>
          <w:p>
            <w:pPr>
              <w:spacing w:line="260" w:lineRule="exact"/>
              <w:jc w:val="center"/>
              <w:rPr>
                <w:rFonts w:ascii="仿宋" w:hAnsi="仿宋" w:eastAsia="仿宋" w:cs="仿宋"/>
                <w:b/>
                <w:szCs w:val="21"/>
              </w:rPr>
            </w:pPr>
          </w:p>
        </w:tc>
        <w:tc>
          <w:tcPr>
            <w:tcW w:w="1704"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加大投入与支持</w:t>
            </w:r>
          </w:p>
        </w:tc>
        <w:tc>
          <w:tcPr>
            <w:tcW w:w="3363"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制定相关政策，为中高贯通培养计划提供有力支持，如奖学金、助学金等。</w:t>
            </w:r>
          </w:p>
        </w:tc>
        <w:tc>
          <w:tcPr>
            <w:tcW w:w="1559"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财务处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restart"/>
            <w:vAlign w:val="center"/>
          </w:tcPr>
          <w:p>
            <w:pPr>
              <w:spacing w:line="260" w:lineRule="exact"/>
              <w:jc w:val="center"/>
              <w:rPr>
                <w:rFonts w:ascii="仿宋" w:hAnsi="仿宋" w:eastAsia="仿宋" w:cs="仿宋"/>
                <w:b/>
                <w:szCs w:val="21"/>
              </w:rPr>
            </w:pPr>
            <w:r>
              <w:rPr>
                <w:rFonts w:hint="eastAsia" w:ascii="仿宋" w:hAnsi="仿宋" w:eastAsia="仿宋" w:cs="仿宋"/>
                <w:b/>
                <w:szCs w:val="21"/>
              </w:rPr>
              <w:t>2025</w:t>
            </w:r>
          </w:p>
        </w:tc>
        <w:tc>
          <w:tcPr>
            <w:tcW w:w="1704"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加强课程体系建设</w:t>
            </w:r>
          </w:p>
        </w:tc>
        <w:tc>
          <w:tcPr>
            <w:tcW w:w="3363"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根据学校定位和人才培养目标，打造一批具有特色的课程，形成独特的教学风格。</w:t>
            </w:r>
          </w:p>
        </w:tc>
        <w:tc>
          <w:tcPr>
            <w:tcW w:w="1559"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教务处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continue"/>
            <w:vAlign w:val="center"/>
          </w:tcPr>
          <w:p>
            <w:pPr>
              <w:spacing w:line="260" w:lineRule="exact"/>
              <w:jc w:val="center"/>
              <w:rPr>
                <w:rFonts w:ascii="仿宋" w:hAnsi="仿宋" w:eastAsia="仿宋" w:cs="仿宋"/>
                <w:bCs/>
                <w:szCs w:val="21"/>
              </w:rPr>
            </w:pPr>
          </w:p>
        </w:tc>
        <w:tc>
          <w:tcPr>
            <w:tcW w:w="1704"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完善师资队伍</w:t>
            </w:r>
          </w:p>
        </w:tc>
        <w:tc>
          <w:tcPr>
            <w:tcW w:w="3363"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完善教师评价和激励机制，激发教师的工作热情和创新能力。</w:t>
            </w:r>
          </w:p>
        </w:tc>
        <w:tc>
          <w:tcPr>
            <w:tcW w:w="1559"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人事处、教务处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continue"/>
            <w:vAlign w:val="center"/>
          </w:tcPr>
          <w:p>
            <w:pPr>
              <w:spacing w:line="260" w:lineRule="exact"/>
              <w:jc w:val="center"/>
              <w:rPr>
                <w:rFonts w:ascii="仿宋" w:hAnsi="仿宋" w:eastAsia="仿宋" w:cs="仿宋"/>
                <w:bCs/>
                <w:szCs w:val="21"/>
              </w:rPr>
            </w:pPr>
          </w:p>
        </w:tc>
        <w:tc>
          <w:tcPr>
            <w:tcW w:w="1704"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强化校企合作</w:t>
            </w:r>
          </w:p>
        </w:tc>
        <w:tc>
          <w:tcPr>
            <w:tcW w:w="3363"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加强学校与企业的产学研合作，推动科技成果的转化和应用。</w:t>
            </w:r>
          </w:p>
        </w:tc>
        <w:tc>
          <w:tcPr>
            <w:tcW w:w="1559"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校企合作与实习就业处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continue"/>
            <w:vAlign w:val="center"/>
          </w:tcPr>
          <w:p>
            <w:pPr>
              <w:spacing w:line="260" w:lineRule="exact"/>
              <w:jc w:val="center"/>
              <w:rPr>
                <w:rFonts w:ascii="仿宋" w:hAnsi="仿宋" w:eastAsia="仿宋" w:cs="仿宋"/>
                <w:bCs/>
                <w:szCs w:val="21"/>
              </w:rPr>
            </w:pPr>
          </w:p>
        </w:tc>
        <w:tc>
          <w:tcPr>
            <w:tcW w:w="1704"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加强质量监控与评估</w:t>
            </w:r>
          </w:p>
        </w:tc>
        <w:tc>
          <w:tcPr>
            <w:tcW w:w="3363"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积极邀请社会参与学校教育教学评价，增强评价的客观性和公正性。</w:t>
            </w:r>
          </w:p>
        </w:tc>
        <w:tc>
          <w:tcPr>
            <w:tcW w:w="1559"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教学督导室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continue"/>
            <w:vAlign w:val="center"/>
          </w:tcPr>
          <w:p>
            <w:pPr>
              <w:spacing w:line="260" w:lineRule="exact"/>
              <w:jc w:val="center"/>
              <w:rPr>
                <w:rFonts w:ascii="仿宋" w:hAnsi="仿宋" w:eastAsia="仿宋" w:cs="仿宋"/>
                <w:bCs/>
                <w:szCs w:val="21"/>
              </w:rPr>
            </w:pPr>
          </w:p>
        </w:tc>
        <w:tc>
          <w:tcPr>
            <w:tcW w:w="1704"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加大投入与支持</w:t>
            </w:r>
          </w:p>
        </w:tc>
        <w:tc>
          <w:tcPr>
            <w:tcW w:w="3363"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通过各种渠道宣传中高贯通培养计划，提高社会对该计划的认知度和认可度。</w:t>
            </w:r>
          </w:p>
        </w:tc>
        <w:tc>
          <w:tcPr>
            <w:tcW w:w="1559"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财务处</w:t>
            </w:r>
          </w:p>
        </w:tc>
      </w:tr>
    </w:tbl>
    <w:p>
      <w:pPr>
        <w:keepNext/>
        <w:keepLines/>
        <w:spacing w:line="540" w:lineRule="exact"/>
        <w:ind w:firstLine="562" w:firstLineChars="200"/>
        <w:outlineLvl w:val="3"/>
        <w:rPr>
          <w:rFonts w:ascii="Times New Roman" w:hAnsi="Times New Roman" w:eastAsia="仿宋"/>
          <w:b/>
          <w:sz w:val="28"/>
          <w:szCs w:val="28"/>
        </w:rPr>
      </w:pPr>
      <w:r>
        <w:rPr>
          <w:rFonts w:hint="eastAsia" w:ascii="Times New Roman" w:hAnsi="Times New Roman" w:eastAsia="仿宋"/>
          <w:b/>
          <w:sz w:val="28"/>
          <w:szCs w:val="28"/>
        </w:rPr>
        <w:t>（6）预期成效及资金测算</w:t>
      </w:r>
    </w:p>
    <w:tbl>
      <w:tblPr>
        <w:tblStyle w:val="16"/>
        <w:tblW w:w="0" w:type="auto"/>
        <w:jc w:val="center"/>
        <w:tblLayout w:type="autofit"/>
        <w:tblCellMar>
          <w:top w:w="15" w:type="dxa"/>
          <w:left w:w="15" w:type="dxa"/>
          <w:bottom w:w="15" w:type="dxa"/>
          <w:right w:w="15" w:type="dxa"/>
        </w:tblCellMar>
      </w:tblPr>
      <w:tblGrid>
        <w:gridCol w:w="1002"/>
        <w:gridCol w:w="2961"/>
        <w:gridCol w:w="2936"/>
        <w:gridCol w:w="479"/>
        <w:gridCol w:w="479"/>
        <w:gridCol w:w="479"/>
      </w:tblGrid>
      <w:tr>
        <w:tblPrEx>
          <w:tblCellMar>
            <w:top w:w="15" w:type="dxa"/>
            <w:left w:w="15" w:type="dxa"/>
            <w:bottom w:w="15" w:type="dxa"/>
            <w:right w:w="15" w:type="dxa"/>
          </w:tblCellMar>
        </w:tblPrEx>
        <w:trPr>
          <w:trHeight w:val="301" w:hRule="atLeast"/>
          <w:jc w:val="center"/>
        </w:trPr>
        <w:tc>
          <w:tcPr>
            <w:tcW w:w="1002" w:type="dxa"/>
            <w:vMerge w:val="restart"/>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项目名称</w:t>
            </w:r>
          </w:p>
        </w:tc>
        <w:tc>
          <w:tcPr>
            <w:tcW w:w="2961" w:type="dxa"/>
            <w:vMerge w:val="restart"/>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主要建设内容</w:t>
            </w:r>
          </w:p>
        </w:tc>
        <w:tc>
          <w:tcPr>
            <w:tcW w:w="2936" w:type="dxa"/>
            <w:vMerge w:val="restart"/>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预期建设成效</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建设资金安排表（万元）</w:t>
            </w:r>
          </w:p>
        </w:tc>
      </w:tr>
      <w:tr>
        <w:tblPrEx>
          <w:tblCellMar>
            <w:top w:w="15" w:type="dxa"/>
            <w:left w:w="15" w:type="dxa"/>
            <w:bottom w:w="15" w:type="dxa"/>
            <w:right w:w="15" w:type="dxa"/>
          </w:tblCellMar>
        </w:tblPrEx>
        <w:trPr>
          <w:trHeight w:val="286" w:hRule="atLeast"/>
          <w:jc w:val="center"/>
        </w:trPr>
        <w:tc>
          <w:tcPr>
            <w:tcW w:w="1002" w:type="dxa"/>
            <w:vMerge w:val="continue"/>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jc w:val="center"/>
              <w:rPr>
                <w:rFonts w:ascii="仿宋" w:hAnsi="仿宋" w:eastAsia="仿宋" w:cs="仿宋"/>
                <w:b/>
                <w:bCs/>
                <w:color w:val="000000"/>
                <w:szCs w:val="21"/>
              </w:rPr>
            </w:pPr>
          </w:p>
        </w:tc>
        <w:tc>
          <w:tcPr>
            <w:tcW w:w="2961" w:type="dxa"/>
            <w:vMerge w:val="continue"/>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jc w:val="center"/>
              <w:rPr>
                <w:rFonts w:ascii="仿宋" w:hAnsi="仿宋" w:eastAsia="仿宋" w:cs="仿宋"/>
                <w:b/>
                <w:bCs/>
                <w:color w:val="000000"/>
                <w:szCs w:val="21"/>
              </w:rPr>
            </w:pPr>
          </w:p>
        </w:tc>
        <w:tc>
          <w:tcPr>
            <w:tcW w:w="2936" w:type="dxa"/>
            <w:vMerge w:val="continue"/>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jc w:val="center"/>
              <w:rPr>
                <w:rFonts w:ascii="仿宋" w:hAnsi="仿宋" w:eastAsia="仿宋" w:cs="仿宋"/>
                <w:b/>
                <w:bCs/>
                <w:color w:val="000000"/>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kern w:val="0"/>
                <w:szCs w:val="21"/>
                <w:lang w:bidi="ar"/>
              </w:rPr>
            </w:pPr>
            <w:r>
              <w:rPr>
                <w:rFonts w:hint="eastAsia" w:ascii="仿宋" w:hAnsi="仿宋" w:eastAsia="仿宋" w:cs="仿宋"/>
                <w:b/>
                <w:bCs/>
                <w:color w:val="000000"/>
                <w:kern w:val="0"/>
                <w:szCs w:val="21"/>
                <w:lang w:bidi="ar"/>
              </w:rPr>
              <w:t>2023年</w:t>
            </w:r>
          </w:p>
        </w:tc>
        <w:tc>
          <w:tcPr>
            <w:tcW w:w="0" w:type="auto"/>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2024年</w:t>
            </w:r>
          </w:p>
        </w:tc>
        <w:tc>
          <w:tcPr>
            <w:tcW w:w="0" w:type="auto"/>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2025年</w:t>
            </w:r>
          </w:p>
        </w:tc>
      </w:tr>
      <w:tr>
        <w:tblPrEx>
          <w:tblCellMar>
            <w:top w:w="15" w:type="dxa"/>
            <w:left w:w="15" w:type="dxa"/>
            <w:bottom w:w="15" w:type="dxa"/>
            <w:right w:w="15" w:type="dxa"/>
          </w:tblCellMar>
        </w:tblPrEx>
        <w:trPr>
          <w:trHeight w:val="450" w:hRule="atLeast"/>
          <w:jc w:val="center"/>
        </w:trPr>
        <w:tc>
          <w:tcPr>
            <w:tcW w:w="1002"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Cs w:val="21"/>
              </w:rPr>
            </w:pPr>
            <w:r>
              <w:rPr>
                <w:rFonts w:hint="eastAsia" w:ascii="仿宋" w:hAnsi="仿宋" w:eastAsia="仿宋" w:cs="仿宋"/>
                <w:b/>
                <w:bCs/>
                <w:color w:val="000000"/>
                <w:szCs w:val="21"/>
              </w:rPr>
              <w:t>中高本贯通建设项目</w:t>
            </w:r>
          </w:p>
        </w:tc>
        <w:tc>
          <w:tcPr>
            <w:tcW w:w="2961" w:type="dxa"/>
            <w:tcBorders>
              <w:top w:val="single" w:color="000000" w:sz="4" w:space="0"/>
              <w:left w:val="single" w:color="000000" w:sz="4" w:space="0"/>
              <w:bottom w:val="single" w:color="000000" w:sz="4" w:space="0"/>
              <w:right w:val="single" w:color="000000" w:sz="4" w:space="0"/>
            </w:tcBorders>
            <w:vAlign w:val="center"/>
          </w:tcPr>
          <w:p>
            <w:pPr>
              <w:jc w:val="left"/>
              <w:rPr>
                <w:rFonts w:ascii="仿宋" w:hAnsi="仿宋" w:eastAsia="仿宋" w:cs="仿宋"/>
                <w:color w:val="000000"/>
                <w:szCs w:val="21"/>
              </w:rPr>
            </w:pPr>
            <w:r>
              <w:rPr>
                <w:rFonts w:hint="eastAsia" w:ascii="仿宋" w:hAnsi="仿宋" w:eastAsia="仿宋" w:cs="仿宋"/>
                <w:color w:val="000000"/>
                <w:szCs w:val="21"/>
              </w:rPr>
              <w:t>聚力推动中高本贯通发展，依托学校雄厚的师资力量和教学资源，计划扩大中高职三二分段录取规模，以强化中高贯通培养三二分段计划，</w:t>
            </w:r>
            <w:r>
              <w:rPr>
                <w:rFonts w:hint="eastAsia" w:ascii="仿宋" w:hAnsi="仿宋" w:eastAsia="仿宋" w:cs="仿宋"/>
                <w:szCs w:val="21"/>
              </w:rPr>
              <w:t>积极争取专本协同育人试点，</w:t>
            </w:r>
            <w:r>
              <w:rPr>
                <w:rFonts w:hint="eastAsia" w:ascii="仿宋" w:hAnsi="仿宋" w:eastAsia="仿宋" w:cs="仿宋"/>
                <w:color w:val="000000"/>
                <w:szCs w:val="21"/>
              </w:rPr>
              <w:t>进一步提升职业教育的整体水平和效益。</w:t>
            </w:r>
          </w:p>
        </w:tc>
        <w:tc>
          <w:tcPr>
            <w:tcW w:w="2936" w:type="dxa"/>
            <w:tcBorders>
              <w:top w:val="single" w:color="000000" w:sz="4" w:space="0"/>
              <w:left w:val="single" w:color="000000" w:sz="4" w:space="0"/>
              <w:bottom w:val="single" w:color="000000" w:sz="4" w:space="0"/>
              <w:right w:val="single" w:color="000000" w:sz="4" w:space="0"/>
            </w:tcBorders>
            <w:vAlign w:val="center"/>
          </w:tcPr>
          <w:p>
            <w:pPr>
              <w:jc w:val="left"/>
              <w:rPr>
                <w:rFonts w:ascii="仿宋" w:hAnsi="仿宋" w:eastAsia="仿宋" w:cs="仿宋"/>
                <w:color w:val="000000"/>
                <w:szCs w:val="21"/>
              </w:rPr>
            </w:pPr>
            <w:r>
              <w:rPr>
                <w:rFonts w:hint="eastAsia" w:ascii="仿宋" w:hAnsi="仿宋" w:eastAsia="仿宋" w:cs="仿宋"/>
                <w:szCs w:val="21"/>
              </w:rPr>
              <w:t>积极争取专本协同育人试点，力争个别专业在先期开展三二分段专升本协同育人培养基础上，试点参与四年制本科协同育人培养。为更好地契合学校发展需求，规划2023年至2025年的中高职贯通培养三二分段计划目标，计划将录取规模扩大至650人，以强化中高贯通培养三二分段计划，进一步提升职业教育的整体水平和效益。</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Cs w:val="21"/>
              </w:rPr>
            </w:pPr>
            <w:r>
              <w:rPr>
                <w:rFonts w:hint="eastAsia" w:ascii="仿宋" w:hAnsi="仿宋" w:eastAsia="仿宋" w:cs="仿宋"/>
                <w:color w:val="000000"/>
                <w:szCs w:val="21"/>
              </w:rPr>
              <w:t>100</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Cs w:val="21"/>
              </w:rPr>
            </w:pPr>
            <w:r>
              <w:rPr>
                <w:rFonts w:hint="eastAsia" w:ascii="仿宋" w:hAnsi="仿宋" w:eastAsia="仿宋" w:cs="仿宋"/>
                <w:color w:val="000000"/>
                <w:szCs w:val="21"/>
              </w:rPr>
              <w:t>100</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Cs w:val="21"/>
              </w:rPr>
            </w:pPr>
            <w:r>
              <w:rPr>
                <w:rFonts w:hint="eastAsia" w:ascii="仿宋" w:hAnsi="仿宋" w:eastAsia="仿宋" w:cs="仿宋"/>
                <w:color w:val="000000"/>
                <w:szCs w:val="21"/>
              </w:rPr>
              <w:t>100</w:t>
            </w:r>
          </w:p>
        </w:tc>
      </w:tr>
    </w:tbl>
    <w:p/>
    <w:p>
      <w:pPr>
        <w:pStyle w:val="4"/>
      </w:pPr>
      <w:bookmarkStart w:id="45" w:name="_Toc164347840"/>
      <w:r>
        <w:rPr>
          <w:rFonts w:hint="eastAsia"/>
        </w:rPr>
        <w:t>3</w:t>
      </w:r>
      <w:r>
        <w:t>.高水平职业院校建设项目</w:t>
      </w:r>
      <w:bookmarkEnd w:id="45"/>
    </w:p>
    <w:p>
      <w:pPr>
        <w:keepNext/>
        <w:keepLines/>
        <w:spacing w:line="540" w:lineRule="exact"/>
        <w:ind w:firstLine="562" w:firstLineChars="200"/>
        <w:outlineLvl w:val="3"/>
        <w:rPr>
          <w:rFonts w:ascii="Times New Roman" w:hAnsi="Times New Roman" w:eastAsia="仿宋"/>
          <w:b/>
          <w:sz w:val="28"/>
          <w:szCs w:val="28"/>
        </w:rPr>
      </w:pPr>
      <w:r>
        <w:rPr>
          <w:rFonts w:hint="eastAsia" w:ascii="Times New Roman" w:hAnsi="Times New Roman" w:eastAsia="仿宋"/>
          <w:b/>
          <w:sz w:val="28"/>
          <w:szCs w:val="28"/>
        </w:rPr>
        <w:t>（1）必要性和可行性</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《国家职业教育改革实施方案》的颁布，为我国高等职业教育改革指明了方向。</w:t>
      </w:r>
      <w:r>
        <w:rPr>
          <w:rFonts w:ascii="仿宋" w:hAnsi="仿宋" w:eastAsia="仿宋" w:cs="仿宋"/>
          <w:sz w:val="28"/>
          <w:szCs w:val="28"/>
        </w:rPr>
        <w:t>进入学校高质量发展期，开展高水平高职院校建设对我校具有十分重要的意义。第一，是提升学校教育事业发展质量的内在要求，是深化学校内涵式发展的必然选择；第二，通过高水平高职院校建设，使学校在校企合作办学机制探索、工学结合培养模式改革、增强社会服务能力等方面显著提升，是贯彻高等教育强国战略的必然选择；第三，是应对外部经济社会变革的现实之举。面向市场、服务产业是职业教育发展的基本策略，也是职业教育的基本功能。其中，服务产业是目的，面向市场是方法，而职业教育的特殊性质决定了它只有首先满足了社会发展需要，才能更好地满足个体发展需要。</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学校有70多年办学历史，积淀深厚。学校以项目驱动内涵发展，专业设置精准对接产业布局，助力粤港澳大湾区建设。紧扣新兴产业对高端技术技能人才的迫切需求，构建应用电子技术专业群为引领的5个专业群，现有省级高水平专业群2个，省级现代学徒制试点专业6个，近5年，学校招生第一志愿投档率100%，录取分数居省前列，就业率达97.60%。学校正在打造粤港澳大湾区高端产业和产业高端创新人才培养高地、产教融合和科教融汇示范高地、科研及培训服务高地，学校在师资队伍、教学科研、社会服务、治理体系、国际合作等方面取得了明显成效，为学校高水平职业院校建设奠定了基础。</w:t>
      </w:r>
    </w:p>
    <w:p>
      <w:pPr>
        <w:keepNext/>
        <w:keepLines/>
        <w:spacing w:line="540" w:lineRule="exact"/>
        <w:ind w:firstLine="562" w:firstLineChars="200"/>
        <w:outlineLvl w:val="3"/>
        <w:rPr>
          <w:rFonts w:ascii="Times New Roman" w:hAnsi="Times New Roman" w:eastAsia="仿宋"/>
          <w:b/>
          <w:sz w:val="28"/>
          <w:szCs w:val="28"/>
        </w:rPr>
      </w:pPr>
      <w:r>
        <w:rPr>
          <w:rFonts w:hint="eastAsia" w:ascii="Times New Roman" w:hAnsi="Times New Roman" w:eastAsia="仿宋"/>
          <w:b/>
          <w:sz w:val="28"/>
          <w:szCs w:val="28"/>
        </w:rPr>
        <w:t>（2）拟解决的关键问题</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一是学校要主动适应产业高端发展，推动人才资源供给侧结构性改革，调整、优化专业（群），修订人才培养标准，重构课程体系，培养学生复合能力、跨学科与文化融合能力、信息技术应用能力等可持续发展能力，实现教育链、人才链与产业链、创新链有机衔接。</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二是学校需要在招生就业、培养培训、师生交流、技能竞赛等方面加强与港澳合作，培养粤港澳大湾区电子信息产业急需的高素质技术技能人才。</w:t>
      </w:r>
    </w:p>
    <w:p>
      <w:pPr>
        <w:keepNext/>
        <w:keepLines/>
        <w:spacing w:line="540" w:lineRule="exact"/>
        <w:ind w:firstLine="562" w:firstLineChars="200"/>
        <w:outlineLvl w:val="3"/>
        <w:rPr>
          <w:rFonts w:ascii="Times New Roman" w:hAnsi="Times New Roman" w:eastAsia="仿宋"/>
          <w:b/>
          <w:sz w:val="28"/>
          <w:szCs w:val="28"/>
        </w:rPr>
      </w:pPr>
      <w:r>
        <w:rPr>
          <w:rFonts w:hint="eastAsia" w:ascii="Times New Roman" w:hAnsi="Times New Roman" w:eastAsia="仿宋"/>
          <w:b/>
          <w:sz w:val="28"/>
          <w:szCs w:val="28"/>
        </w:rPr>
        <w:t>（3）建设目标</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发挥学校党委领导核心和政治核心作用，以立德树人，培养“德智体美劳”全面发展的高端技术技能人才为目标，以应用电子技术专业群建设作为引擎，聚焦“人才培养、专业（群）建设、社会服务、师资队伍”四个打造，推进高水平高职学校建设。到2024年，学校办学水平、服务能力、国际影响显著提升，形成高水平高职学校建设新局面。到2025年，学校成为办学实力强，人才培养质量高，示范引领作用突出的省一流、全国有影响、国际可交流的高职院校。</w:t>
      </w:r>
    </w:p>
    <w:p>
      <w:pPr>
        <w:keepNext/>
        <w:keepLines/>
        <w:spacing w:line="540" w:lineRule="exact"/>
        <w:ind w:firstLine="562" w:firstLineChars="200"/>
        <w:outlineLvl w:val="3"/>
        <w:rPr>
          <w:rFonts w:ascii="Times New Roman" w:hAnsi="Times New Roman" w:eastAsia="仿宋"/>
          <w:b/>
          <w:sz w:val="28"/>
          <w:szCs w:val="28"/>
        </w:rPr>
      </w:pPr>
      <w:r>
        <w:rPr>
          <w:rFonts w:hint="eastAsia" w:ascii="Times New Roman" w:hAnsi="Times New Roman" w:eastAsia="仿宋"/>
          <w:b/>
          <w:sz w:val="28"/>
          <w:szCs w:val="28"/>
        </w:rPr>
        <w:t>（4）建设任务</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完善党对学校全面领导的工作机制，构建三全育人思想政治工作格局，落实“双带头人”基层党组织建设，为学校高质量内涵发展提供组织保障。</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探索“通用平台+技能平台”2平台、2+2职业素养养成体系和高素质劳动人才养成高地、优质技能人才供给高地、复合型人才质量高地，全面提升人才培养质量和学校教育服务贡献力。</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建设10大技术技能创新服务平台，7个创新服务团队，建立健全系列科技创新激励和科教融合的政策措施，提升学校支撑区域经济发展的技术研发能力。</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面向粤港澳大湾区产业数字化转型升级发展，实施“聚合倍增”</w:t>
      </w:r>
      <w:r>
        <w:rPr>
          <w:rFonts w:hint="eastAsia" w:ascii="仿宋" w:hAnsi="仿宋" w:eastAsia="仿宋" w:cs="仿宋"/>
          <w:sz w:val="28"/>
          <w:szCs w:val="28"/>
          <w:lang w:eastAsia="zh-CN"/>
        </w:rPr>
        <w:t>“</w:t>
      </w:r>
      <w:r>
        <w:rPr>
          <w:rFonts w:hint="eastAsia" w:ascii="仿宋" w:hAnsi="仿宋" w:eastAsia="仿宋" w:cs="仿宋"/>
          <w:sz w:val="28"/>
          <w:szCs w:val="28"/>
        </w:rPr>
        <w:t>双轨四优”“质量并重”三大计划，系统提升专业群水平。</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深入实施“人才强校”战略，构建“一个标准体系、一支双师队伍、一个研修体系、一套运行机制”；打造一支德才兼备、数量充足、结构合理的高水平双师型队伍，为人才培养、科技开发和社会服务提供坚强有力的师资队伍保障。</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完善治理制度，深化治理体系建设，建设智慧校园，构建科学规范、协同高效、安全稳定的治理体系，打造具有鲜明特色的治理结构和模式，提升教育教学管理水平，助力学校高质量发展。</w:t>
      </w:r>
    </w:p>
    <w:p>
      <w:pPr>
        <w:keepNext/>
        <w:keepLines/>
        <w:spacing w:line="540" w:lineRule="exact"/>
        <w:ind w:firstLine="562" w:firstLineChars="200"/>
        <w:outlineLvl w:val="3"/>
        <w:rPr>
          <w:rFonts w:ascii="Times New Roman" w:hAnsi="Times New Roman" w:eastAsia="仿宋"/>
          <w:b/>
          <w:sz w:val="28"/>
          <w:szCs w:val="28"/>
        </w:rPr>
      </w:pPr>
      <w:r>
        <w:rPr>
          <w:rFonts w:hint="eastAsia" w:ascii="Times New Roman" w:hAnsi="Times New Roman" w:eastAsia="仿宋"/>
          <w:b/>
          <w:sz w:val="28"/>
          <w:szCs w:val="28"/>
        </w:rPr>
        <w:t>（5）建设计划</w:t>
      </w:r>
    </w:p>
    <w:tbl>
      <w:tblPr>
        <w:tblStyle w:val="17"/>
        <w:tblW w:w="0" w:type="auto"/>
        <w:tblInd w:w="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6"/>
        <w:gridCol w:w="2496"/>
        <w:gridCol w:w="3588"/>
        <w:gridCol w:w="15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756" w:type="dxa"/>
            <w:shd w:val="clear" w:color="auto" w:fill="4874CB" w:themeFill="accent1"/>
            <w:vAlign w:val="center"/>
          </w:tcPr>
          <w:p>
            <w:pPr>
              <w:widowControl/>
              <w:topLinePunct/>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年度</w:t>
            </w:r>
          </w:p>
        </w:tc>
        <w:tc>
          <w:tcPr>
            <w:tcW w:w="2496" w:type="dxa"/>
            <w:shd w:val="clear" w:color="auto" w:fill="4874CB" w:themeFill="accent1"/>
            <w:vAlign w:val="center"/>
          </w:tcPr>
          <w:p>
            <w:pPr>
              <w:widowControl/>
              <w:topLinePunct/>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建设任务</w:t>
            </w:r>
          </w:p>
        </w:tc>
        <w:tc>
          <w:tcPr>
            <w:tcW w:w="3588" w:type="dxa"/>
            <w:shd w:val="clear" w:color="auto" w:fill="4874CB" w:themeFill="accent1"/>
            <w:vAlign w:val="center"/>
          </w:tcPr>
          <w:p>
            <w:pPr>
              <w:widowControl/>
              <w:topLinePunct/>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建设内容</w:t>
            </w:r>
          </w:p>
        </w:tc>
        <w:tc>
          <w:tcPr>
            <w:tcW w:w="1512" w:type="dxa"/>
            <w:shd w:val="clear" w:color="auto" w:fill="4874CB" w:themeFill="accent1"/>
            <w:vAlign w:val="center"/>
          </w:tcPr>
          <w:p>
            <w:pPr>
              <w:widowControl/>
              <w:topLinePunct/>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负责部门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 w:hRule="atLeast"/>
        </w:trPr>
        <w:tc>
          <w:tcPr>
            <w:tcW w:w="756" w:type="dxa"/>
            <w:vAlign w:val="center"/>
          </w:tcPr>
          <w:p>
            <w:pPr>
              <w:jc w:val="center"/>
              <w:rPr>
                <w:rFonts w:ascii="仿宋" w:hAnsi="仿宋" w:eastAsia="仿宋" w:cs="仿宋"/>
                <w:b/>
                <w:bCs/>
                <w:color w:val="000000"/>
                <w:szCs w:val="21"/>
              </w:rPr>
            </w:pPr>
            <w:r>
              <w:rPr>
                <w:rFonts w:hint="eastAsia" w:ascii="仿宋" w:hAnsi="仿宋" w:eastAsia="仿宋" w:cs="仿宋"/>
                <w:b/>
                <w:bCs/>
                <w:color w:val="000000"/>
                <w:szCs w:val="21"/>
              </w:rPr>
              <w:t>2023</w:t>
            </w:r>
          </w:p>
        </w:tc>
        <w:tc>
          <w:tcPr>
            <w:tcW w:w="2496" w:type="dxa"/>
            <w:vAlign w:val="center"/>
          </w:tcPr>
          <w:p>
            <w:pPr>
              <w:rPr>
                <w:rFonts w:ascii="仿宋" w:hAnsi="仿宋" w:eastAsia="仿宋" w:cs="仿宋"/>
                <w:color w:val="000000"/>
                <w:szCs w:val="21"/>
              </w:rPr>
            </w:pPr>
            <w:r>
              <w:rPr>
                <w:rFonts w:hint="eastAsia" w:ascii="仿宋" w:hAnsi="仿宋" w:eastAsia="仿宋" w:cs="仿宋"/>
                <w:color w:val="000000"/>
                <w:szCs w:val="21"/>
              </w:rPr>
              <w:t>结合职教特点创新形成人才培养模式，创新人才培养方案</w:t>
            </w:r>
          </w:p>
        </w:tc>
        <w:tc>
          <w:tcPr>
            <w:tcW w:w="3588" w:type="dxa"/>
            <w:vAlign w:val="center"/>
          </w:tcPr>
          <w:p>
            <w:pPr>
              <w:rPr>
                <w:rFonts w:ascii="仿宋" w:hAnsi="仿宋" w:eastAsia="仿宋" w:cs="仿宋"/>
                <w:color w:val="000000"/>
                <w:szCs w:val="21"/>
              </w:rPr>
            </w:pPr>
            <w:r>
              <w:rPr>
                <w:rFonts w:hint="eastAsia" w:ascii="仿宋" w:hAnsi="仿宋" w:eastAsia="仿宋" w:cs="仿宋"/>
                <w:color w:val="000000"/>
                <w:szCs w:val="21"/>
              </w:rPr>
              <w:t>构建融合劳动育人、“1+X”证书制度的专业群课程体系；构建“全员参与”的创新创业教育体系。根据企业需求建立现代学徒制、订单班6个以上项目，调整校级专业群布局。</w:t>
            </w:r>
          </w:p>
        </w:tc>
        <w:tc>
          <w:tcPr>
            <w:tcW w:w="1512"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教务处、发展规划处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trPr>
        <w:tc>
          <w:tcPr>
            <w:tcW w:w="756" w:type="dxa"/>
            <w:vAlign w:val="center"/>
          </w:tcPr>
          <w:p>
            <w:pPr>
              <w:jc w:val="center"/>
              <w:rPr>
                <w:rFonts w:ascii="仿宋" w:hAnsi="仿宋" w:eastAsia="仿宋" w:cs="仿宋"/>
                <w:b/>
                <w:bCs/>
                <w:color w:val="000000"/>
                <w:szCs w:val="21"/>
              </w:rPr>
            </w:pPr>
            <w:r>
              <w:rPr>
                <w:rFonts w:hint="eastAsia" w:ascii="仿宋" w:hAnsi="仿宋" w:eastAsia="仿宋" w:cs="仿宋"/>
                <w:b/>
                <w:bCs/>
                <w:color w:val="000000"/>
                <w:szCs w:val="21"/>
              </w:rPr>
              <w:t>2024</w:t>
            </w:r>
          </w:p>
        </w:tc>
        <w:tc>
          <w:tcPr>
            <w:tcW w:w="2496" w:type="dxa"/>
            <w:vAlign w:val="center"/>
          </w:tcPr>
          <w:p>
            <w:pPr>
              <w:rPr>
                <w:rFonts w:ascii="仿宋" w:hAnsi="仿宋" w:eastAsia="仿宋" w:cs="仿宋"/>
                <w:color w:val="000000"/>
                <w:szCs w:val="21"/>
              </w:rPr>
            </w:pPr>
            <w:r>
              <w:rPr>
                <w:rFonts w:hint="eastAsia" w:ascii="仿宋" w:hAnsi="仿宋" w:eastAsia="仿宋" w:cs="仿宋"/>
                <w:color w:val="000000"/>
                <w:szCs w:val="21"/>
              </w:rPr>
              <w:t>专业课分级推进“课程思政”建设，融入工匠精神，将社会主义核心价值观贯穿于人才培养全过程。</w:t>
            </w:r>
          </w:p>
        </w:tc>
        <w:tc>
          <w:tcPr>
            <w:tcW w:w="3588" w:type="dxa"/>
            <w:vAlign w:val="center"/>
          </w:tcPr>
          <w:p>
            <w:pPr>
              <w:rPr>
                <w:rFonts w:ascii="仿宋" w:hAnsi="仿宋" w:eastAsia="仿宋" w:cs="仿宋"/>
                <w:color w:val="000000"/>
                <w:szCs w:val="21"/>
              </w:rPr>
            </w:pPr>
            <w:r>
              <w:rPr>
                <w:rFonts w:hint="eastAsia" w:ascii="仿宋" w:hAnsi="仿宋" w:eastAsia="仿宋" w:cs="仿宋"/>
                <w:color w:val="000000"/>
                <w:szCs w:val="21"/>
              </w:rPr>
              <w:t>建设校级专业教学资源库2个以上，申报并立项省级专业教学资源库1个。</w:t>
            </w:r>
          </w:p>
        </w:tc>
        <w:tc>
          <w:tcPr>
            <w:tcW w:w="1512"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教务处、发展规划处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0" w:hRule="atLeast"/>
        </w:trPr>
        <w:tc>
          <w:tcPr>
            <w:tcW w:w="756" w:type="dxa"/>
            <w:vAlign w:val="center"/>
          </w:tcPr>
          <w:p>
            <w:pPr>
              <w:jc w:val="center"/>
              <w:rPr>
                <w:rFonts w:ascii="仿宋" w:hAnsi="仿宋" w:eastAsia="仿宋" w:cs="仿宋"/>
                <w:b/>
                <w:bCs/>
                <w:color w:val="000000"/>
                <w:szCs w:val="21"/>
              </w:rPr>
            </w:pPr>
            <w:r>
              <w:rPr>
                <w:rFonts w:hint="eastAsia" w:ascii="仿宋" w:hAnsi="仿宋" w:eastAsia="仿宋" w:cs="仿宋"/>
                <w:b/>
                <w:bCs/>
                <w:color w:val="000000"/>
                <w:szCs w:val="21"/>
              </w:rPr>
              <w:t>2025</w:t>
            </w:r>
          </w:p>
        </w:tc>
        <w:tc>
          <w:tcPr>
            <w:tcW w:w="2496" w:type="dxa"/>
            <w:vAlign w:val="center"/>
          </w:tcPr>
          <w:p>
            <w:pPr>
              <w:rPr>
                <w:rFonts w:ascii="仿宋" w:hAnsi="仿宋" w:eastAsia="仿宋" w:cs="仿宋"/>
                <w:color w:val="000000"/>
                <w:szCs w:val="21"/>
              </w:rPr>
            </w:pPr>
            <w:r>
              <w:rPr>
                <w:rFonts w:hint="eastAsia" w:ascii="仿宋" w:hAnsi="仿宋" w:eastAsia="仿宋" w:cs="仿宋"/>
                <w:color w:val="000000"/>
                <w:szCs w:val="21"/>
              </w:rPr>
              <w:t>顺利通过市级高水平高职院校考核，完成省级高水平专业群验收。</w:t>
            </w:r>
          </w:p>
        </w:tc>
        <w:tc>
          <w:tcPr>
            <w:tcW w:w="3588" w:type="dxa"/>
            <w:vAlign w:val="center"/>
          </w:tcPr>
          <w:p>
            <w:pPr>
              <w:rPr>
                <w:rFonts w:ascii="仿宋" w:hAnsi="仿宋" w:eastAsia="仿宋" w:cs="仿宋"/>
                <w:color w:val="000000"/>
                <w:szCs w:val="21"/>
              </w:rPr>
            </w:pPr>
            <w:r>
              <w:rPr>
                <w:rFonts w:hint="eastAsia" w:ascii="仿宋" w:hAnsi="仿宋" w:eastAsia="仿宋" w:cs="仿宋"/>
                <w:color w:val="000000"/>
                <w:szCs w:val="21"/>
              </w:rPr>
              <w:t>与企业合作开发基于云平台的立体教材，充分利用大数据、人工智能、移动互联网和云计算等各自的特点和优势，将活页式纸质教材、数字化资源有效整合，实施“互联网+教育”，为线上线下混合教学提供保障，促进学习者自主、泛在、个性化学习，整合优化专业群实训室，申报2个省级示范性产业学院，并立项1个，提升服务能力。</w:t>
            </w:r>
          </w:p>
        </w:tc>
        <w:tc>
          <w:tcPr>
            <w:tcW w:w="1512"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教务处、发展规划处</w:t>
            </w:r>
          </w:p>
        </w:tc>
      </w:tr>
    </w:tbl>
    <w:p>
      <w:pPr>
        <w:keepNext/>
        <w:keepLines/>
        <w:spacing w:line="540" w:lineRule="exact"/>
        <w:outlineLvl w:val="3"/>
        <w:rPr>
          <w:rFonts w:ascii="Times New Roman" w:hAnsi="Times New Roman" w:eastAsia="仿宋"/>
          <w:b/>
          <w:sz w:val="28"/>
          <w:szCs w:val="28"/>
        </w:rPr>
      </w:pPr>
      <w:r>
        <w:rPr>
          <w:rFonts w:hint="eastAsia" w:ascii="Times New Roman" w:hAnsi="Times New Roman" w:eastAsia="仿宋"/>
          <w:b/>
          <w:sz w:val="28"/>
          <w:szCs w:val="28"/>
        </w:rPr>
        <w:t>（6）预期成效及资金测算</w:t>
      </w:r>
    </w:p>
    <w:p>
      <w:pPr>
        <w:ind w:left="420" w:leftChars="200"/>
      </w:pPr>
    </w:p>
    <w:tbl>
      <w:tblPr>
        <w:tblStyle w:val="16"/>
        <w:tblW w:w="0" w:type="auto"/>
        <w:jc w:val="center"/>
        <w:tblLayout w:type="autofit"/>
        <w:tblCellMar>
          <w:top w:w="15" w:type="dxa"/>
          <w:left w:w="15" w:type="dxa"/>
          <w:bottom w:w="15" w:type="dxa"/>
          <w:right w:w="15" w:type="dxa"/>
        </w:tblCellMar>
      </w:tblPr>
      <w:tblGrid>
        <w:gridCol w:w="503"/>
        <w:gridCol w:w="3454"/>
        <w:gridCol w:w="2894"/>
        <w:gridCol w:w="495"/>
        <w:gridCol w:w="495"/>
        <w:gridCol w:w="495"/>
      </w:tblGrid>
      <w:tr>
        <w:tblPrEx>
          <w:tblCellMar>
            <w:top w:w="15" w:type="dxa"/>
            <w:left w:w="15" w:type="dxa"/>
            <w:bottom w:w="15" w:type="dxa"/>
            <w:right w:w="15" w:type="dxa"/>
          </w:tblCellMar>
        </w:tblPrEx>
        <w:trPr>
          <w:trHeight w:val="301"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项目名称</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ind w:firstLine="361"/>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主要建设内容</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ind w:firstLine="361"/>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预期建设成效</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建设资金安排表（万元）</w:t>
            </w:r>
          </w:p>
        </w:tc>
      </w:tr>
      <w:tr>
        <w:tblPrEx>
          <w:tblCellMar>
            <w:top w:w="15" w:type="dxa"/>
            <w:left w:w="15" w:type="dxa"/>
            <w:bottom w:w="15" w:type="dxa"/>
            <w:right w:w="15" w:type="dxa"/>
          </w:tblCellMar>
        </w:tblPrEx>
        <w:trPr>
          <w:trHeight w:val="286"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ind w:firstLine="361"/>
              <w:jc w:val="left"/>
              <w:rPr>
                <w:rFonts w:ascii="仿宋" w:hAnsi="仿宋" w:eastAsia="仿宋" w:cs="仿宋"/>
                <w:b/>
                <w:bCs/>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ind w:firstLine="361"/>
              <w:jc w:val="left"/>
              <w:rPr>
                <w:rFonts w:ascii="仿宋" w:hAnsi="仿宋" w:eastAsia="仿宋" w:cs="仿宋"/>
                <w:b/>
                <w:bCs/>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ind w:firstLine="361"/>
              <w:jc w:val="left"/>
              <w:rPr>
                <w:rFonts w:ascii="仿宋" w:hAnsi="仿宋" w:eastAsia="仿宋" w:cs="仿宋"/>
                <w:b/>
                <w:bCs/>
                <w:color w:val="000000"/>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kern w:val="0"/>
                <w:szCs w:val="21"/>
                <w:lang w:bidi="ar"/>
              </w:rPr>
            </w:pPr>
            <w:r>
              <w:rPr>
                <w:rFonts w:hint="eastAsia" w:ascii="仿宋" w:hAnsi="仿宋" w:eastAsia="仿宋" w:cs="仿宋"/>
                <w:b/>
                <w:bCs/>
                <w:color w:val="000000"/>
                <w:kern w:val="0"/>
                <w:szCs w:val="21"/>
                <w:lang w:bidi="ar"/>
              </w:rPr>
              <w:t>2023年</w:t>
            </w:r>
          </w:p>
        </w:tc>
        <w:tc>
          <w:tcPr>
            <w:tcW w:w="0" w:type="auto"/>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2024年</w:t>
            </w:r>
          </w:p>
        </w:tc>
        <w:tc>
          <w:tcPr>
            <w:tcW w:w="0" w:type="auto"/>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2025年</w:t>
            </w:r>
          </w:p>
        </w:tc>
      </w:tr>
      <w:tr>
        <w:tblPrEx>
          <w:tblCellMar>
            <w:top w:w="15" w:type="dxa"/>
            <w:left w:w="15" w:type="dxa"/>
            <w:bottom w:w="15" w:type="dxa"/>
            <w:right w:w="15" w:type="dxa"/>
          </w:tblCellMar>
        </w:tblPrEx>
        <w:trPr>
          <w:trHeight w:val="450"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pPr>
              <w:jc w:val="left"/>
              <w:rPr>
                <w:rFonts w:ascii="仿宋" w:hAnsi="仿宋" w:eastAsia="仿宋" w:cs="仿宋"/>
                <w:color w:val="000000"/>
                <w:szCs w:val="21"/>
              </w:rPr>
            </w:pPr>
            <w:r>
              <w:rPr>
                <w:rFonts w:hint="eastAsia" w:ascii="仿宋" w:hAnsi="仿宋" w:eastAsia="仿宋" w:cs="仿宋"/>
                <w:b/>
                <w:bCs/>
                <w:color w:val="000000"/>
                <w:szCs w:val="21"/>
              </w:rPr>
              <w:t>高水平职业院校建设项目</w:t>
            </w:r>
          </w:p>
        </w:tc>
        <w:tc>
          <w:tcPr>
            <w:tcW w:w="0" w:type="auto"/>
            <w:tcBorders>
              <w:top w:val="single" w:color="000000" w:sz="4" w:space="0"/>
              <w:left w:val="single" w:color="000000" w:sz="4" w:space="0"/>
              <w:bottom w:val="single" w:color="000000" w:sz="4" w:space="0"/>
              <w:right w:val="single" w:color="000000" w:sz="4" w:space="0"/>
            </w:tcBorders>
            <w:vAlign w:val="center"/>
          </w:tcPr>
          <w:p>
            <w:pPr>
              <w:spacing w:line="260" w:lineRule="exact"/>
              <w:jc w:val="left"/>
              <w:rPr>
                <w:rFonts w:ascii="仿宋" w:hAnsi="仿宋" w:eastAsia="仿宋" w:cs="仿宋"/>
                <w:color w:val="000000"/>
                <w:szCs w:val="21"/>
              </w:rPr>
            </w:pPr>
            <w:r>
              <w:rPr>
                <w:rFonts w:hint="eastAsia" w:ascii="仿宋" w:hAnsi="仿宋" w:eastAsia="仿宋" w:cs="仿宋"/>
                <w:color w:val="000000"/>
                <w:szCs w:val="21"/>
              </w:rPr>
              <w:t>发挥学校党委领导核心和政治核心作用，以立德树人，培养“德智体美劳”全面发展的高端技术技能人才为目标，以应用电子技术专业群建设作为引擎，聚焦“人才培养、专业（群）建设、社会服务、师资队伍”四个打造，推进高水平高职学校建设。</w:t>
            </w:r>
          </w:p>
        </w:tc>
        <w:tc>
          <w:tcPr>
            <w:tcW w:w="0" w:type="auto"/>
            <w:tcBorders>
              <w:top w:val="single" w:color="000000" w:sz="4" w:space="0"/>
              <w:left w:val="single" w:color="000000" w:sz="4" w:space="0"/>
              <w:bottom w:val="single" w:color="000000" w:sz="4" w:space="0"/>
              <w:right w:val="single" w:color="000000" w:sz="4" w:space="0"/>
            </w:tcBorders>
            <w:vAlign w:val="center"/>
          </w:tcPr>
          <w:p>
            <w:pPr>
              <w:spacing w:line="260" w:lineRule="exact"/>
              <w:jc w:val="left"/>
              <w:rPr>
                <w:rFonts w:ascii="仿宋" w:hAnsi="仿宋" w:eastAsia="仿宋" w:cs="仿宋"/>
                <w:color w:val="000000"/>
                <w:szCs w:val="21"/>
              </w:rPr>
            </w:pPr>
            <w:r>
              <w:rPr>
                <w:rFonts w:hint="eastAsia" w:ascii="仿宋" w:hAnsi="仿宋" w:eastAsia="仿宋" w:cs="仿宋"/>
                <w:color w:val="000000"/>
                <w:szCs w:val="21"/>
              </w:rPr>
              <w:t>到2025年，把学校建设成为立足惠州，面向粤港澳大湾区，服务电子信息产业转型升级，助力乡村振兴，办学实力强，人才培养质量高，示范引领作用突出的省一流、全国有影响、国际可交流的高职院校。</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Cs w:val="21"/>
              </w:rPr>
            </w:pPr>
            <w:r>
              <w:rPr>
                <w:rFonts w:hint="eastAsia" w:ascii="仿宋" w:hAnsi="仿宋" w:eastAsia="仿宋" w:cs="仿宋"/>
                <w:color w:val="000000"/>
                <w:szCs w:val="21"/>
              </w:rPr>
              <w:t>300</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Cs w:val="21"/>
              </w:rPr>
            </w:pPr>
            <w:r>
              <w:rPr>
                <w:rFonts w:hint="eastAsia" w:ascii="仿宋" w:hAnsi="仿宋" w:eastAsia="仿宋" w:cs="仿宋"/>
                <w:color w:val="000000"/>
                <w:szCs w:val="21"/>
              </w:rPr>
              <w:t>300</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Cs w:val="21"/>
              </w:rPr>
            </w:pPr>
            <w:r>
              <w:rPr>
                <w:rFonts w:hint="eastAsia" w:ascii="仿宋" w:hAnsi="仿宋" w:eastAsia="仿宋" w:cs="仿宋"/>
                <w:color w:val="000000"/>
                <w:szCs w:val="21"/>
              </w:rPr>
              <w:t>300</w:t>
            </w:r>
          </w:p>
        </w:tc>
      </w:tr>
    </w:tbl>
    <w:p>
      <w:pPr>
        <w:pStyle w:val="4"/>
      </w:pPr>
      <w:bookmarkStart w:id="46" w:name="_Toc164347841"/>
      <w:r>
        <w:rPr>
          <w:rFonts w:hint="eastAsia"/>
        </w:rPr>
        <w:t>4.</w:t>
      </w:r>
      <w:bookmarkStart w:id="47" w:name="_Toc19613"/>
      <w:r>
        <w:rPr>
          <w:rFonts w:hint="eastAsia"/>
        </w:rPr>
        <w:fldChar w:fldCharType="begin"/>
      </w:r>
      <w:r>
        <w:instrText xml:space="preserve"> HYPERLINK \l "_Toc29566" </w:instrText>
      </w:r>
      <w:r>
        <w:rPr>
          <w:rFonts w:hint="eastAsia"/>
        </w:rPr>
        <w:fldChar w:fldCharType="separate"/>
      </w:r>
      <w:r>
        <w:rPr>
          <w:rFonts w:hint="eastAsia"/>
        </w:rPr>
        <w:t>高水平专业群建设项目</w:t>
      </w:r>
      <w:bookmarkEnd w:id="46"/>
      <w:r>
        <w:rPr>
          <w:rFonts w:hint="eastAsia"/>
        </w:rPr>
        <w:fldChar w:fldCharType="end"/>
      </w:r>
      <w:bookmarkEnd w:id="47"/>
    </w:p>
    <w:p>
      <w:pPr>
        <w:keepNext/>
        <w:keepLines/>
        <w:spacing w:line="540" w:lineRule="exact"/>
        <w:ind w:firstLine="562" w:firstLineChars="200"/>
        <w:outlineLvl w:val="3"/>
        <w:rPr>
          <w:rFonts w:ascii="Times New Roman" w:hAnsi="Times New Roman" w:eastAsia="仿宋"/>
          <w:b/>
          <w:sz w:val="28"/>
          <w:szCs w:val="28"/>
        </w:rPr>
      </w:pPr>
      <w:bookmarkStart w:id="48" w:name="_Toc27454"/>
      <w:r>
        <w:rPr>
          <w:rFonts w:hint="eastAsia" w:ascii="Times New Roman" w:hAnsi="Times New Roman" w:eastAsia="仿宋"/>
          <w:b/>
          <w:sz w:val="28"/>
          <w:szCs w:val="28"/>
        </w:rPr>
        <w:t>（1）必要性和可行性</w:t>
      </w:r>
    </w:p>
    <w:p>
      <w:pPr>
        <w:spacing w:line="540" w:lineRule="exact"/>
        <w:ind w:firstLine="560" w:firstLineChars="200"/>
        <w:rPr>
          <w:rFonts w:ascii="仿宋" w:hAnsi="仿宋" w:eastAsia="仿宋"/>
          <w:sz w:val="28"/>
          <w:szCs w:val="28"/>
        </w:rPr>
      </w:pPr>
      <w:r>
        <w:rPr>
          <w:rFonts w:ascii="仿宋" w:hAnsi="仿宋" w:eastAsia="仿宋"/>
          <w:sz w:val="28"/>
          <w:szCs w:val="28"/>
        </w:rPr>
        <w:t>建设高水平专业群是“双高计划”的核心任务，是推进高职院校提高教育供给质量、增强核心竞争力的重要制度设计。建设高水平专业群有利于推动区域内高职院校专业结构整体优化</w:t>
      </w:r>
      <w:r>
        <w:rPr>
          <w:rFonts w:hint="eastAsia" w:ascii="仿宋" w:hAnsi="仿宋" w:eastAsia="仿宋"/>
          <w:sz w:val="28"/>
          <w:szCs w:val="28"/>
        </w:rPr>
        <w:t>，有利于打造技术技能人才培养高地和技术技能创新平台，有利于专业资源综合利用、优势互补，有利于应对行业企业生产经营状况变化对人才需求的波动，有利于推动教育链与人才链，产业链与创新链的有机衔接。</w:t>
      </w:r>
    </w:p>
    <w:p>
      <w:pPr>
        <w:spacing w:line="540" w:lineRule="exact"/>
        <w:ind w:firstLine="560" w:firstLineChars="200"/>
        <w:rPr>
          <w:rFonts w:ascii="仿宋" w:hAnsi="仿宋" w:eastAsia="仿宋"/>
          <w:sz w:val="28"/>
          <w:szCs w:val="28"/>
        </w:rPr>
      </w:pPr>
      <w:r>
        <w:rPr>
          <w:rFonts w:hint="eastAsia" w:ascii="仿宋" w:hAnsi="仿宋" w:eastAsia="仿宋"/>
          <w:sz w:val="28"/>
          <w:szCs w:val="28"/>
        </w:rPr>
        <w:t>学校现有2个省级高水平专业群，正在参照省级高水平专业群建设要求计划打造另外3个校级专业群。对照广东省教育厅有关要求，按照专业群建设规划，开展好学校高水平专业群建设，具有可行性。</w:t>
      </w:r>
    </w:p>
    <w:p>
      <w:pPr>
        <w:keepNext/>
        <w:keepLines/>
        <w:spacing w:line="540" w:lineRule="exact"/>
        <w:ind w:firstLine="562" w:firstLineChars="200"/>
        <w:outlineLvl w:val="3"/>
        <w:rPr>
          <w:rFonts w:ascii="Times New Roman" w:hAnsi="Times New Roman" w:eastAsia="仿宋"/>
          <w:b/>
          <w:sz w:val="28"/>
          <w:szCs w:val="28"/>
        </w:rPr>
      </w:pPr>
      <w:r>
        <w:rPr>
          <w:rFonts w:hint="eastAsia" w:ascii="Times New Roman" w:hAnsi="Times New Roman" w:eastAsia="仿宋"/>
          <w:b/>
          <w:sz w:val="28"/>
          <w:szCs w:val="28"/>
        </w:rPr>
        <w:t>（2）拟解决的关键问题</w:t>
      </w:r>
    </w:p>
    <w:p>
      <w:pPr>
        <w:spacing w:line="540" w:lineRule="exact"/>
        <w:ind w:firstLine="560" w:firstLineChars="200"/>
        <w:rPr>
          <w:rFonts w:ascii="仿宋" w:hAnsi="仿宋" w:eastAsia="仿宋"/>
          <w:sz w:val="28"/>
          <w:szCs w:val="28"/>
        </w:rPr>
      </w:pPr>
      <w:r>
        <w:rPr>
          <w:rFonts w:ascii="仿宋" w:hAnsi="仿宋" w:eastAsia="仿宋"/>
          <w:sz w:val="28"/>
          <w:szCs w:val="28"/>
        </w:rPr>
        <w:t>遵循“智能制造装备、智能制造技术、制造生态系统” 的技术逻辑，构建服务智能工厂的“制造技术、物联</w:t>
      </w:r>
      <w:r>
        <w:rPr>
          <w:rFonts w:hint="eastAsia" w:ascii="仿宋" w:hAnsi="仿宋" w:eastAsia="仿宋"/>
          <w:sz w:val="28"/>
          <w:szCs w:val="28"/>
        </w:rPr>
        <w:t>和</w:t>
      </w:r>
      <w:r>
        <w:rPr>
          <w:rFonts w:ascii="仿宋" w:hAnsi="仿宋" w:eastAsia="仿宋"/>
          <w:sz w:val="28"/>
          <w:szCs w:val="28"/>
        </w:rPr>
        <w:t>大数据技术、经营管理以及</w:t>
      </w:r>
      <w:r>
        <w:rPr>
          <w:rFonts w:hint="eastAsia" w:ascii="仿宋" w:hAnsi="仿宋" w:eastAsia="仿宋"/>
          <w:sz w:val="28"/>
          <w:szCs w:val="28"/>
        </w:rPr>
        <w:t>农类应用</w:t>
      </w:r>
      <w:r>
        <w:rPr>
          <w:rFonts w:ascii="仿宋" w:hAnsi="仿宋" w:eastAsia="仿宋"/>
          <w:sz w:val="28"/>
          <w:szCs w:val="28"/>
        </w:rPr>
        <w:t>”</w:t>
      </w:r>
      <w:r>
        <w:rPr>
          <w:rFonts w:hint="eastAsia" w:ascii="仿宋" w:hAnsi="仿宋" w:eastAsia="仿宋"/>
          <w:sz w:val="28"/>
          <w:szCs w:val="28"/>
        </w:rPr>
        <w:t>四大</w:t>
      </w:r>
      <w:r>
        <w:rPr>
          <w:rFonts w:ascii="仿宋" w:hAnsi="仿宋" w:eastAsia="仿宋"/>
          <w:sz w:val="28"/>
          <w:szCs w:val="28"/>
        </w:rPr>
        <w:t>专业集群，提升专业的资源共享程度、集成服务能力，形成专业紧密对接产业发展的机制。</w:t>
      </w:r>
      <w:r>
        <w:rPr>
          <w:rFonts w:hint="eastAsia" w:ascii="仿宋" w:hAnsi="仿宋" w:eastAsia="仿宋"/>
          <w:sz w:val="28"/>
          <w:szCs w:val="28"/>
        </w:rPr>
        <w:t>完成省级高水平专业群</w:t>
      </w:r>
      <w:r>
        <w:rPr>
          <w:rFonts w:ascii="仿宋" w:hAnsi="仿宋" w:eastAsia="仿宋"/>
          <w:sz w:val="28"/>
          <w:szCs w:val="28"/>
        </w:rPr>
        <w:t>“</w:t>
      </w:r>
      <w:r>
        <w:rPr>
          <w:rFonts w:hint="eastAsia" w:ascii="仿宋" w:hAnsi="仿宋" w:eastAsia="仿宋"/>
          <w:sz w:val="28"/>
          <w:szCs w:val="28"/>
        </w:rPr>
        <w:t>应用电子技术</w:t>
      </w:r>
      <w:r>
        <w:rPr>
          <w:rFonts w:ascii="仿宋" w:hAnsi="仿宋" w:eastAsia="仿宋"/>
          <w:sz w:val="28"/>
          <w:szCs w:val="28"/>
        </w:rPr>
        <w:t>”和“</w:t>
      </w:r>
      <w:r>
        <w:rPr>
          <w:rFonts w:hint="eastAsia" w:ascii="仿宋" w:hAnsi="仿宋" w:eastAsia="仿宋"/>
          <w:sz w:val="28"/>
          <w:szCs w:val="28"/>
        </w:rPr>
        <w:t>商务数据分析与应用</w:t>
      </w:r>
      <w:r>
        <w:rPr>
          <w:rFonts w:ascii="仿宋" w:hAnsi="仿宋" w:eastAsia="仿宋"/>
          <w:sz w:val="28"/>
          <w:szCs w:val="28"/>
        </w:rPr>
        <w:t>”</w:t>
      </w:r>
      <w:r>
        <w:rPr>
          <w:rFonts w:hint="eastAsia" w:ascii="仿宋" w:hAnsi="仿宋" w:eastAsia="仿宋"/>
          <w:sz w:val="28"/>
          <w:szCs w:val="28"/>
        </w:rPr>
        <w:t>的验收，打造校级“机械制造与自动化”和“园林技术”专业群，建立专业群动态调整机制，打造和优化建设3个校级专业群</w:t>
      </w:r>
      <w:r>
        <w:rPr>
          <w:rFonts w:ascii="仿宋" w:hAnsi="仿宋" w:eastAsia="仿宋"/>
          <w:sz w:val="28"/>
          <w:szCs w:val="28"/>
        </w:rPr>
        <w:t>。</w:t>
      </w:r>
    </w:p>
    <w:p>
      <w:pPr>
        <w:keepNext/>
        <w:keepLines/>
        <w:spacing w:line="540" w:lineRule="exact"/>
        <w:ind w:firstLine="562" w:firstLineChars="200"/>
        <w:outlineLvl w:val="3"/>
        <w:rPr>
          <w:rFonts w:ascii="Times New Roman" w:hAnsi="Times New Roman" w:eastAsia="仿宋"/>
          <w:b/>
          <w:sz w:val="28"/>
          <w:szCs w:val="28"/>
        </w:rPr>
      </w:pPr>
      <w:r>
        <w:rPr>
          <w:rFonts w:hint="eastAsia" w:ascii="Times New Roman" w:hAnsi="Times New Roman" w:eastAsia="仿宋"/>
          <w:b/>
          <w:sz w:val="28"/>
          <w:szCs w:val="28"/>
        </w:rPr>
        <w:t>（3）建设目标</w:t>
      </w:r>
    </w:p>
    <w:p>
      <w:pPr>
        <w:spacing w:line="540" w:lineRule="exact"/>
        <w:ind w:firstLine="560" w:firstLineChars="200"/>
        <w:rPr>
          <w:rFonts w:ascii="仿宋" w:hAnsi="仿宋" w:eastAsia="仿宋"/>
          <w:sz w:val="28"/>
          <w:szCs w:val="28"/>
        </w:rPr>
      </w:pPr>
      <w:r>
        <w:rPr>
          <w:rFonts w:hint="eastAsia" w:ascii="仿宋" w:hAnsi="仿宋" w:eastAsia="仿宋"/>
          <w:sz w:val="28"/>
          <w:szCs w:val="28"/>
        </w:rPr>
        <w:t>以跨界协同为突破，以产教融合为抓手，契合大湾区一体化发展和经济转型升级，服务智能制造系统和产业链的智能设备、智能工厂、智能服务等关键技术领域，系统构建应用电子技术、机械制造与自动化、商务数据分析与应用等专业群，以技术创新为引领，重点建设园林技术专业群，实现专业集群化发展，顺利完成2个省级专业群验收，完善专业群动态调整机制，新增</w:t>
      </w:r>
      <w:r>
        <w:rPr>
          <w:rFonts w:ascii="仿宋" w:hAnsi="仿宋" w:eastAsia="仿宋"/>
          <w:sz w:val="28"/>
          <w:szCs w:val="28"/>
        </w:rPr>
        <w:t>1个校级专业群。建成省级教学资源库</w:t>
      </w:r>
      <w:r>
        <w:rPr>
          <w:rFonts w:hint="eastAsia" w:ascii="仿宋" w:hAnsi="仿宋" w:eastAsia="仿宋"/>
          <w:sz w:val="28"/>
          <w:szCs w:val="28"/>
        </w:rPr>
        <w:t>1</w:t>
      </w:r>
      <w:r>
        <w:rPr>
          <w:rFonts w:ascii="仿宋" w:hAnsi="仿宋" w:eastAsia="仿宋"/>
          <w:sz w:val="28"/>
          <w:szCs w:val="28"/>
        </w:rPr>
        <w:t>个，认定省级在线精品开放课程</w:t>
      </w:r>
      <w:r>
        <w:rPr>
          <w:rFonts w:hint="eastAsia" w:ascii="仿宋" w:hAnsi="仿宋" w:eastAsia="仿宋"/>
          <w:sz w:val="28"/>
          <w:szCs w:val="28"/>
        </w:rPr>
        <w:t>5</w:t>
      </w:r>
      <w:r>
        <w:rPr>
          <w:rFonts w:ascii="仿宋" w:hAnsi="仿宋" w:eastAsia="仿宋"/>
          <w:sz w:val="28"/>
          <w:szCs w:val="28"/>
        </w:rPr>
        <w:t>门，出版3部电子教材，认定</w:t>
      </w:r>
      <w:r>
        <w:rPr>
          <w:rFonts w:hint="eastAsia" w:ascii="仿宋" w:hAnsi="仿宋" w:eastAsia="仿宋"/>
          <w:sz w:val="28"/>
          <w:szCs w:val="28"/>
        </w:rPr>
        <w:t>5</w:t>
      </w:r>
      <w:r>
        <w:rPr>
          <w:rFonts w:ascii="仿宋" w:hAnsi="仿宋" w:eastAsia="仿宋"/>
          <w:sz w:val="28"/>
          <w:szCs w:val="28"/>
        </w:rPr>
        <w:t>部规划教材，开发110门模块化课程。</w:t>
      </w:r>
      <w:r>
        <w:rPr>
          <w:rFonts w:hint="eastAsia" w:ascii="仿宋" w:hAnsi="仿宋" w:eastAsia="仿宋"/>
          <w:sz w:val="28"/>
          <w:szCs w:val="28"/>
        </w:rPr>
        <w:t>推行专业群动态调整机制，</w:t>
      </w:r>
      <w:r>
        <w:rPr>
          <w:rFonts w:ascii="仿宋" w:hAnsi="仿宋" w:eastAsia="仿宋"/>
          <w:sz w:val="28"/>
          <w:szCs w:val="28"/>
        </w:rPr>
        <w:t>人才培养质量诊断改进方案学习调研5次</w:t>
      </w:r>
      <w:r>
        <w:rPr>
          <w:rFonts w:hint="eastAsia" w:ascii="仿宋" w:hAnsi="仿宋" w:eastAsia="仿宋"/>
          <w:sz w:val="28"/>
          <w:szCs w:val="28"/>
        </w:rPr>
        <w:t>，</w:t>
      </w:r>
      <w:r>
        <w:rPr>
          <w:rFonts w:ascii="仿宋" w:hAnsi="仿宋" w:eastAsia="仿宋"/>
          <w:sz w:val="28"/>
          <w:szCs w:val="28"/>
        </w:rPr>
        <w:t>修订专业群预算支出管理办法</w:t>
      </w:r>
      <w:r>
        <w:rPr>
          <w:rFonts w:hint="eastAsia" w:ascii="仿宋" w:hAnsi="仿宋" w:eastAsia="仿宋"/>
          <w:sz w:val="28"/>
          <w:szCs w:val="28"/>
        </w:rPr>
        <w:t>，</w:t>
      </w:r>
      <w:r>
        <w:rPr>
          <w:rFonts w:ascii="仿宋" w:hAnsi="仿宋" w:eastAsia="仿宋"/>
          <w:sz w:val="28"/>
          <w:szCs w:val="28"/>
        </w:rPr>
        <w:t>督查专项经费使用执行情况</w:t>
      </w:r>
      <w:r>
        <w:rPr>
          <w:rFonts w:hint="eastAsia" w:ascii="仿宋" w:hAnsi="仿宋" w:eastAsia="仿宋"/>
          <w:sz w:val="28"/>
          <w:szCs w:val="28"/>
        </w:rPr>
        <w:t>，</w:t>
      </w:r>
      <w:r>
        <w:rPr>
          <w:rFonts w:ascii="仿宋" w:hAnsi="仿宋" w:eastAsia="仿宋"/>
          <w:sz w:val="28"/>
          <w:szCs w:val="28"/>
        </w:rPr>
        <w:t>专业群可持续发展经验总结与推广。</w:t>
      </w:r>
    </w:p>
    <w:p>
      <w:pPr>
        <w:keepNext/>
        <w:keepLines/>
        <w:spacing w:line="540" w:lineRule="exact"/>
        <w:ind w:firstLine="562" w:firstLineChars="200"/>
        <w:outlineLvl w:val="3"/>
        <w:rPr>
          <w:rFonts w:ascii="Times New Roman" w:hAnsi="Times New Roman" w:eastAsia="仿宋"/>
          <w:b/>
          <w:sz w:val="28"/>
          <w:szCs w:val="28"/>
        </w:rPr>
      </w:pPr>
      <w:r>
        <w:rPr>
          <w:rFonts w:hint="eastAsia" w:ascii="Times New Roman" w:hAnsi="Times New Roman" w:eastAsia="仿宋"/>
          <w:b/>
          <w:sz w:val="28"/>
          <w:szCs w:val="28"/>
        </w:rPr>
        <w:t>（4）重点建设任务</w:t>
      </w:r>
    </w:p>
    <w:p>
      <w:pPr>
        <w:spacing w:line="540" w:lineRule="exact"/>
        <w:ind w:firstLine="562" w:firstLineChars="200"/>
        <w:rPr>
          <w:rFonts w:ascii="仿宋" w:hAnsi="仿宋" w:eastAsia="仿宋"/>
          <w:b/>
          <w:bCs/>
          <w:sz w:val="28"/>
          <w:szCs w:val="28"/>
        </w:rPr>
      </w:pPr>
      <w:r>
        <w:rPr>
          <w:rFonts w:hint="eastAsia" w:ascii="仿宋" w:hAnsi="仿宋" w:eastAsia="仿宋"/>
          <w:b/>
          <w:bCs/>
          <w:sz w:val="28"/>
          <w:szCs w:val="28"/>
        </w:rPr>
        <w:t xml:space="preserve">① </w:t>
      </w:r>
      <w:r>
        <w:rPr>
          <w:rFonts w:ascii="仿宋" w:hAnsi="仿宋" w:eastAsia="仿宋"/>
          <w:b/>
          <w:bCs/>
          <w:sz w:val="28"/>
          <w:szCs w:val="28"/>
        </w:rPr>
        <w:t>构建服务“智能工厂”的专业集群</w:t>
      </w:r>
    </w:p>
    <w:p>
      <w:pPr>
        <w:spacing w:line="540" w:lineRule="exact"/>
        <w:ind w:firstLine="560" w:firstLineChars="200"/>
        <w:rPr>
          <w:rFonts w:ascii="仿宋" w:hAnsi="仿宋" w:eastAsia="仿宋"/>
          <w:sz w:val="28"/>
          <w:szCs w:val="28"/>
        </w:rPr>
      </w:pPr>
      <w:r>
        <w:rPr>
          <w:rFonts w:ascii="仿宋" w:hAnsi="仿宋" w:eastAsia="仿宋"/>
          <w:sz w:val="28"/>
          <w:szCs w:val="28"/>
        </w:rPr>
        <w:t>研究国家、区域智能制造及职业教育的发展规划，以及国内外智能制造关键技术的发展方向。借助全国智能制造职教集团等产教融合平台，依托行业研究机构</w:t>
      </w:r>
      <w:r>
        <w:rPr>
          <w:rFonts w:hint="eastAsia" w:ascii="仿宋" w:hAnsi="仿宋" w:eastAsia="仿宋"/>
          <w:sz w:val="28"/>
          <w:szCs w:val="28"/>
        </w:rPr>
        <w:t>，</w:t>
      </w:r>
      <w:r>
        <w:rPr>
          <w:rFonts w:ascii="仿宋" w:hAnsi="仿宋" w:eastAsia="仿宋"/>
          <w:sz w:val="28"/>
          <w:szCs w:val="28"/>
        </w:rPr>
        <w:t>深入制造行业企业一线，重点调研产业发展、产业布局、技术应用、人才结构、劳动组织、企业管理等对专业人才培养、教学改革和专业建设所产生的影响。对接</w:t>
      </w:r>
      <w:r>
        <w:rPr>
          <w:rFonts w:hint="eastAsia" w:ascii="仿宋" w:hAnsi="仿宋" w:eastAsia="仿宋"/>
          <w:sz w:val="28"/>
          <w:szCs w:val="28"/>
        </w:rPr>
        <w:t>广东</w:t>
      </w:r>
      <w:r>
        <w:rPr>
          <w:rFonts w:ascii="仿宋" w:hAnsi="仿宋" w:eastAsia="仿宋"/>
          <w:sz w:val="28"/>
          <w:szCs w:val="28"/>
        </w:rPr>
        <w:t>制造强省战略，服务国家智能制造战略核心和</w:t>
      </w:r>
      <w:r>
        <w:rPr>
          <w:rFonts w:hint="eastAsia" w:ascii="仿宋" w:hAnsi="仿宋" w:eastAsia="仿宋"/>
          <w:sz w:val="28"/>
          <w:szCs w:val="28"/>
        </w:rPr>
        <w:t>广东高质量发展要求</w:t>
      </w:r>
      <w:r>
        <w:rPr>
          <w:rFonts w:ascii="仿宋" w:hAnsi="仿宋" w:eastAsia="仿宋"/>
          <w:sz w:val="28"/>
          <w:szCs w:val="28"/>
        </w:rPr>
        <w:t>，发挥学校</w:t>
      </w:r>
      <w:r>
        <w:rPr>
          <w:rFonts w:hint="eastAsia" w:ascii="仿宋" w:hAnsi="仿宋" w:eastAsia="仿宋"/>
          <w:sz w:val="28"/>
          <w:szCs w:val="28"/>
        </w:rPr>
        <w:t>电子信息</w:t>
      </w:r>
      <w:r>
        <w:rPr>
          <w:rFonts w:ascii="仿宋" w:hAnsi="仿宋" w:eastAsia="仿宋"/>
          <w:sz w:val="28"/>
          <w:szCs w:val="28"/>
        </w:rPr>
        <w:t>类专业传统优势和新一代信息技术专业区域强势，重点建设</w:t>
      </w:r>
      <w:r>
        <w:rPr>
          <w:rFonts w:hint="eastAsia" w:ascii="仿宋" w:hAnsi="仿宋" w:eastAsia="仿宋"/>
          <w:sz w:val="28"/>
          <w:szCs w:val="28"/>
        </w:rPr>
        <w:t>四</w:t>
      </w:r>
      <w:r>
        <w:rPr>
          <w:rFonts w:ascii="仿宋" w:hAnsi="仿宋" w:eastAsia="仿宋"/>
          <w:sz w:val="28"/>
          <w:szCs w:val="28"/>
        </w:rPr>
        <w:t>个集人才培养、科研创新、科技服务、继续教育与培训为一体，以智能制造为特色、对接区域产业发展的智能制造专业群，协同培养智能制造领域紧缺复合型技术技能人才。服务智能制造系统和产业链的制造技术、物联</w:t>
      </w:r>
      <w:r>
        <w:rPr>
          <w:rFonts w:hint="eastAsia" w:ascii="仿宋" w:hAnsi="仿宋" w:eastAsia="仿宋"/>
          <w:sz w:val="28"/>
          <w:szCs w:val="28"/>
        </w:rPr>
        <w:t>和</w:t>
      </w:r>
      <w:r>
        <w:rPr>
          <w:rFonts w:ascii="仿宋" w:hAnsi="仿宋" w:eastAsia="仿宋"/>
          <w:sz w:val="28"/>
          <w:szCs w:val="28"/>
        </w:rPr>
        <w:t>大数据技术、经营管理以及</w:t>
      </w:r>
      <w:r>
        <w:rPr>
          <w:rFonts w:hint="eastAsia" w:ascii="仿宋" w:hAnsi="仿宋" w:eastAsia="仿宋"/>
          <w:sz w:val="28"/>
          <w:szCs w:val="28"/>
        </w:rPr>
        <w:t>农类应用</w:t>
      </w:r>
      <w:r>
        <w:rPr>
          <w:rFonts w:ascii="仿宋" w:hAnsi="仿宋" w:eastAsia="仿宋"/>
          <w:sz w:val="28"/>
          <w:szCs w:val="28"/>
        </w:rPr>
        <w:t>等智能制造关键技术领域。根据各专业群的核心技术方向及技术应用领域，统筹调整专业核心能力培养和就业岗位面向，精准服务区域支柱产业发展规划中“做强做优先进制造业，加快发展智能制造”的需求。</w:t>
      </w:r>
    </w:p>
    <w:p>
      <w:pPr>
        <w:spacing w:line="540" w:lineRule="exact"/>
        <w:ind w:firstLine="562" w:firstLineChars="200"/>
        <w:rPr>
          <w:rFonts w:ascii="仿宋" w:hAnsi="仿宋" w:eastAsia="仿宋"/>
          <w:b/>
          <w:bCs/>
          <w:sz w:val="28"/>
          <w:szCs w:val="28"/>
        </w:rPr>
      </w:pPr>
      <w:r>
        <w:rPr>
          <w:rFonts w:hint="eastAsia" w:ascii="仿宋" w:hAnsi="仿宋" w:eastAsia="仿宋"/>
          <w:b/>
          <w:bCs/>
          <w:sz w:val="28"/>
          <w:szCs w:val="28"/>
        </w:rPr>
        <w:t xml:space="preserve">② </w:t>
      </w:r>
      <w:r>
        <w:rPr>
          <w:rFonts w:ascii="仿宋" w:hAnsi="仿宋" w:eastAsia="仿宋"/>
          <w:b/>
          <w:bCs/>
          <w:sz w:val="28"/>
          <w:szCs w:val="28"/>
        </w:rPr>
        <w:t>创新专业群建设模式</w:t>
      </w:r>
    </w:p>
    <w:p>
      <w:pPr>
        <w:spacing w:line="540" w:lineRule="exact"/>
        <w:ind w:firstLine="560" w:firstLineChars="200"/>
        <w:rPr>
          <w:rFonts w:ascii="仿宋" w:hAnsi="仿宋" w:eastAsia="仿宋"/>
          <w:sz w:val="28"/>
          <w:szCs w:val="28"/>
        </w:rPr>
      </w:pPr>
      <w:r>
        <w:rPr>
          <w:rFonts w:ascii="仿宋" w:hAnsi="仿宋" w:eastAsia="仿宋"/>
          <w:sz w:val="28"/>
          <w:szCs w:val="28"/>
        </w:rPr>
        <w:t>伴随智能制造技术发展多年来的技术技能人才培养实践探索，通过对专业群建设的主题、要素、功能和支持系统等方面的研究，</w:t>
      </w:r>
      <w:r>
        <w:rPr>
          <w:rFonts w:ascii="仿宋" w:hAnsi="仿宋" w:eastAsia="仿宋"/>
          <w:b/>
          <w:bCs/>
          <w:sz w:val="28"/>
          <w:szCs w:val="28"/>
        </w:rPr>
        <w:t>构建“双标同步、三集统筹”专业群建设模式。</w:t>
      </w:r>
      <w:r>
        <w:rPr>
          <w:rFonts w:ascii="仿宋" w:hAnsi="仿宋" w:eastAsia="仿宋"/>
          <w:sz w:val="28"/>
          <w:szCs w:val="28"/>
        </w:rPr>
        <w:t>对接智能制造国家标准技术内涵，以高水平服务智能制造技术研发与应用为牵引，实现智能制造类专业群教学标准优化同步，实现专业集群、资源集成、管理集约（“双标同步、三集统筹”）， 全力打造基于技术创新与技能积累、支撑机械行业智能制造转型发展，</w:t>
      </w:r>
      <w:r>
        <w:rPr>
          <w:rFonts w:hint="eastAsia" w:ascii="仿宋" w:hAnsi="仿宋" w:eastAsia="仿宋"/>
          <w:sz w:val="28"/>
          <w:szCs w:val="28"/>
        </w:rPr>
        <w:t>省内</w:t>
      </w:r>
      <w:r>
        <w:rPr>
          <w:rFonts w:ascii="仿宋" w:hAnsi="仿宋" w:eastAsia="仿宋"/>
          <w:sz w:val="28"/>
          <w:szCs w:val="28"/>
        </w:rPr>
        <w:t>领先、示范同行的专业群“</w:t>
      </w:r>
      <w:r>
        <w:rPr>
          <w:rFonts w:hint="eastAsia" w:ascii="仿宋" w:hAnsi="仿宋" w:eastAsia="仿宋"/>
          <w:sz w:val="28"/>
          <w:szCs w:val="28"/>
        </w:rPr>
        <w:t>惠工</w:t>
      </w:r>
      <w:r>
        <w:rPr>
          <w:rFonts w:ascii="仿宋" w:hAnsi="仿宋" w:eastAsia="仿宋"/>
          <w:sz w:val="28"/>
          <w:szCs w:val="28"/>
        </w:rPr>
        <w:t>”建设模式</w:t>
      </w:r>
      <w:r>
        <w:rPr>
          <w:rFonts w:hint="eastAsia" w:ascii="仿宋" w:hAnsi="仿宋" w:eastAsia="仿宋"/>
          <w:sz w:val="28"/>
          <w:szCs w:val="28"/>
        </w:rPr>
        <w:t>。</w:t>
      </w:r>
    </w:p>
    <w:p>
      <w:pPr>
        <w:spacing w:line="540" w:lineRule="exact"/>
        <w:ind w:firstLine="562" w:firstLineChars="200"/>
        <w:rPr>
          <w:rFonts w:ascii="仿宋" w:hAnsi="仿宋" w:eastAsia="仿宋"/>
          <w:sz w:val="28"/>
          <w:szCs w:val="28"/>
        </w:rPr>
      </w:pPr>
      <w:r>
        <w:rPr>
          <w:rFonts w:ascii="仿宋" w:hAnsi="仿宋" w:eastAsia="仿宋"/>
          <w:b/>
          <w:bCs/>
          <w:sz w:val="28"/>
          <w:szCs w:val="28"/>
        </w:rPr>
        <w:t>聚焦智能工厂，重点打造</w:t>
      </w:r>
      <w:r>
        <w:rPr>
          <w:rFonts w:hint="eastAsia" w:ascii="仿宋" w:hAnsi="仿宋" w:eastAsia="仿宋"/>
          <w:b/>
          <w:bCs/>
          <w:sz w:val="28"/>
          <w:szCs w:val="28"/>
        </w:rPr>
        <w:t>省级应用电子技术</w:t>
      </w:r>
      <w:r>
        <w:rPr>
          <w:rFonts w:ascii="仿宋" w:hAnsi="仿宋" w:eastAsia="仿宋"/>
          <w:b/>
          <w:bCs/>
          <w:sz w:val="28"/>
          <w:szCs w:val="28"/>
        </w:rPr>
        <w:t>专业群</w:t>
      </w:r>
      <w:r>
        <w:rPr>
          <w:rFonts w:hint="eastAsia" w:ascii="仿宋" w:hAnsi="仿宋" w:eastAsia="仿宋"/>
          <w:b/>
          <w:bCs/>
          <w:sz w:val="28"/>
          <w:szCs w:val="28"/>
        </w:rPr>
        <w:t>。</w:t>
      </w:r>
      <w:r>
        <w:rPr>
          <w:rFonts w:ascii="仿宋" w:hAnsi="仿宋" w:eastAsia="仿宋"/>
          <w:sz w:val="28"/>
          <w:szCs w:val="28"/>
        </w:rPr>
        <w:t>依据智能工厂“信息化、网络化、智能化”升级改造，整</w:t>
      </w:r>
      <w:r>
        <w:rPr>
          <w:rFonts w:hint="eastAsia" w:ascii="仿宋" w:hAnsi="仿宋" w:eastAsia="仿宋"/>
          <w:sz w:val="28"/>
          <w:szCs w:val="28"/>
        </w:rPr>
        <w:t>合应用电子技术、大数据、物联网、电气自动化、计算机应用五</w:t>
      </w:r>
      <w:r>
        <w:rPr>
          <w:rFonts w:ascii="仿宋" w:hAnsi="仿宋" w:eastAsia="仿宋"/>
          <w:sz w:val="28"/>
          <w:szCs w:val="28"/>
        </w:rPr>
        <w:t>个专业，</w:t>
      </w:r>
      <w:r>
        <w:rPr>
          <w:rFonts w:hint="eastAsia" w:ascii="仿宋" w:hAnsi="仿宋" w:eastAsia="仿宋"/>
          <w:sz w:val="28"/>
          <w:szCs w:val="28"/>
        </w:rPr>
        <w:t>建设应用电子技术</w:t>
      </w:r>
      <w:r>
        <w:rPr>
          <w:rFonts w:ascii="仿宋" w:hAnsi="仿宋" w:eastAsia="仿宋"/>
          <w:sz w:val="28"/>
          <w:szCs w:val="28"/>
        </w:rPr>
        <w:t>专业群。瞄准</w:t>
      </w:r>
      <w:r>
        <w:rPr>
          <w:rFonts w:hint="eastAsia" w:ascii="仿宋" w:hAnsi="仿宋" w:eastAsia="仿宋"/>
          <w:sz w:val="28"/>
          <w:szCs w:val="28"/>
        </w:rPr>
        <w:t>惠州</w:t>
      </w:r>
      <w:r>
        <w:rPr>
          <w:rFonts w:ascii="仿宋" w:hAnsi="仿宋" w:eastAsia="仿宋"/>
          <w:sz w:val="28"/>
          <w:szCs w:val="28"/>
        </w:rPr>
        <w:t>区域经济产业结构的调整与升级，灵活调整和设置专业。依托“</w:t>
      </w:r>
      <w:r>
        <w:rPr>
          <w:rFonts w:hint="eastAsia" w:ascii="仿宋" w:hAnsi="仿宋" w:eastAsia="仿宋"/>
          <w:sz w:val="28"/>
          <w:szCs w:val="28"/>
        </w:rPr>
        <w:t>惠州新一代电子信息市域产教联合体</w:t>
      </w:r>
      <w:r>
        <w:rPr>
          <w:rFonts w:ascii="仿宋" w:hAnsi="仿宋" w:eastAsia="仿宋"/>
          <w:sz w:val="28"/>
          <w:szCs w:val="28"/>
        </w:rPr>
        <w:t>”，建立“政校行企”联动机制，成立专业群建设指导委员会，跟踪区域经济和新技术发展，加强对区域人才需求的科学预测，适时动态调整和改造专业群，实现专业群与产业群有效对接。通过校企融合，对照国际工程专业认证标准，构建“五教合一”的人才培养模式；以“平台+模块+拓展”理实一体专业课程体系，培养能胜任智能工厂信息化融合技术与应用关键岗位的高素质、复合型技术技能人才</w:t>
      </w:r>
      <w:r>
        <w:rPr>
          <w:rFonts w:hint="eastAsia" w:ascii="仿宋" w:hAnsi="仿宋" w:eastAsia="仿宋"/>
          <w:sz w:val="28"/>
          <w:szCs w:val="28"/>
        </w:rPr>
        <w:t>。</w:t>
      </w:r>
    </w:p>
    <w:p>
      <w:pPr>
        <w:spacing w:line="540" w:lineRule="exact"/>
        <w:ind w:firstLine="562" w:firstLineChars="200"/>
        <w:rPr>
          <w:rFonts w:ascii="仿宋" w:hAnsi="仿宋" w:eastAsia="仿宋"/>
          <w:sz w:val="28"/>
          <w:szCs w:val="28"/>
        </w:rPr>
      </w:pPr>
      <w:r>
        <w:rPr>
          <w:rFonts w:hint="eastAsia" w:ascii="仿宋" w:hAnsi="仿宋" w:eastAsia="仿宋"/>
          <w:b/>
          <w:bCs/>
          <w:sz w:val="28"/>
          <w:szCs w:val="28"/>
        </w:rPr>
        <w:t>聚焦智能服务，重点打造省级商务数据分析与应用专业群。</w:t>
      </w:r>
      <w:r>
        <w:rPr>
          <w:rFonts w:ascii="仿宋" w:hAnsi="仿宋" w:eastAsia="仿宋"/>
          <w:sz w:val="28"/>
          <w:szCs w:val="28"/>
        </w:rPr>
        <w:t>依据智能</w:t>
      </w:r>
      <w:r>
        <w:rPr>
          <w:rFonts w:hint="eastAsia" w:ascii="仿宋" w:hAnsi="仿宋" w:eastAsia="仿宋"/>
          <w:sz w:val="28"/>
          <w:szCs w:val="28"/>
        </w:rPr>
        <w:t>服务行业应用，</w:t>
      </w:r>
      <w:r>
        <w:rPr>
          <w:rFonts w:ascii="仿宋" w:hAnsi="仿宋" w:eastAsia="仿宋"/>
          <w:sz w:val="28"/>
          <w:szCs w:val="28"/>
        </w:rPr>
        <w:t>整合</w:t>
      </w:r>
      <w:r>
        <w:rPr>
          <w:rFonts w:hint="eastAsia" w:ascii="仿宋" w:hAnsi="仿宋" w:eastAsia="仿宋"/>
          <w:sz w:val="28"/>
          <w:szCs w:val="28"/>
        </w:rPr>
        <w:t>商务数据分析与应用、电子商务、财富管理、大数据与财务管理</w:t>
      </w:r>
      <w:r>
        <w:rPr>
          <w:rFonts w:ascii="仿宋" w:hAnsi="仿宋" w:eastAsia="仿宋"/>
          <w:sz w:val="28"/>
          <w:szCs w:val="28"/>
        </w:rPr>
        <w:t>四个专业，构建</w:t>
      </w:r>
      <w:r>
        <w:rPr>
          <w:rFonts w:hint="eastAsia" w:ascii="仿宋" w:hAnsi="仿宋" w:eastAsia="仿宋"/>
          <w:sz w:val="28"/>
          <w:szCs w:val="28"/>
        </w:rPr>
        <w:t>商务数据分析与应用专业群</w:t>
      </w:r>
      <w:r>
        <w:rPr>
          <w:rFonts w:ascii="仿宋" w:hAnsi="仿宋" w:eastAsia="仿宋"/>
          <w:sz w:val="28"/>
          <w:szCs w:val="28"/>
        </w:rPr>
        <w:t>。</w:t>
      </w:r>
      <w:r>
        <w:rPr>
          <w:rFonts w:hint="eastAsia" w:ascii="仿宋" w:hAnsi="仿宋" w:eastAsia="仿宋"/>
          <w:sz w:val="28"/>
          <w:szCs w:val="28"/>
        </w:rPr>
        <w:t>面向惠州乃至粤港澳大湾区电子信息产业的企业数字化转型，以“新业态、新业务、新场景”为指向，精准对接智能制造服务业，精准对接数字化营销、数字化管理、金融科技数字化岗位群，创新“大类培养、个性发展”的人才培养模式，培育具备“讲诚信、懂数字、跨领域”，具有数据思维和业务能力并举的“发展型、复合型”技术技能人才。经过建设，将商务数据分析与应用专业群建成人才培养能力强、服务水平高、区域影响力大的国内一流高水平专业群。</w:t>
      </w:r>
    </w:p>
    <w:p>
      <w:pPr>
        <w:spacing w:line="540" w:lineRule="exact"/>
        <w:ind w:firstLine="562" w:firstLineChars="200"/>
        <w:rPr>
          <w:rFonts w:ascii="仿宋" w:hAnsi="仿宋" w:eastAsia="仿宋"/>
          <w:b/>
          <w:bCs/>
          <w:sz w:val="28"/>
          <w:szCs w:val="28"/>
        </w:rPr>
      </w:pPr>
      <w:r>
        <w:rPr>
          <w:rFonts w:hint="eastAsia" w:ascii="仿宋" w:hAnsi="仿宋" w:eastAsia="仿宋"/>
          <w:b/>
          <w:bCs/>
          <w:sz w:val="28"/>
          <w:szCs w:val="28"/>
        </w:rPr>
        <w:t xml:space="preserve">③ </w:t>
      </w:r>
      <w:r>
        <w:rPr>
          <w:rFonts w:ascii="仿宋" w:hAnsi="仿宋" w:eastAsia="仿宋"/>
          <w:b/>
          <w:bCs/>
          <w:sz w:val="28"/>
          <w:szCs w:val="28"/>
        </w:rPr>
        <w:t>提升专业群建设内涵</w:t>
      </w:r>
    </w:p>
    <w:p>
      <w:pPr>
        <w:spacing w:line="540" w:lineRule="exact"/>
        <w:ind w:firstLine="562" w:firstLineChars="200"/>
        <w:rPr>
          <w:rFonts w:ascii="仿宋" w:hAnsi="仿宋" w:eastAsia="仿宋"/>
          <w:sz w:val="28"/>
          <w:szCs w:val="28"/>
        </w:rPr>
      </w:pPr>
      <w:r>
        <w:rPr>
          <w:rFonts w:ascii="仿宋" w:hAnsi="仿宋" w:eastAsia="仿宋"/>
          <w:b/>
          <w:bCs/>
          <w:sz w:val="28"/>
          <w:szCs w:val="28"/>
        </w:rPr>
        <w:t>对接生产前沿和工作过程，同步更新教学内容。</w:t>
      </w:r>
      <w:r>
        <w:rPr>
          <w:rFonts w:ascii="仿宋" w:hAnsi="仿宋" w:eastAsia="仿宋"/>
          <w:sz w:val="28"/>
          <w:szCs w:val="28"/>
        </w:rPr>
        <w:t>依托产教融合平台，及时转化平台业务资源，校企共同开发活页式、工作手册式教材和数字化教学资源，保障新技术、新工艺第一时间进入教学。到建设期末，累计</w:t>
      </w:r>
      <w:r>
        <w:rPr>
          <w:rFonts w:hint="eastAsia" w:ascii="仿宋" w:hAnsi="仿宋" w:eastAsia="仿宋"/>
          <w:sz w:val="28"/>
          <w:szCs w:val="28"/>
        </w:rPr>
        <w:t>出版</w:t>
      </w:r>
      <w:r>
        <w:rPr>
          <w:rFonts w:ascii="仿宋" w:hAnsi="仿宋" w:eastAsia="仿宋"/>
          <w:sz w:val="28"/>
          <w:szCs w:val="28"/>
        </w:rPr>
        <w:t>3部电子教材，认定</w:t>
      </w:r>
      <w:r>
        <w:rPr>
          <w:rFonts w:hint="eastAsia" w:ascii="仿宋" w:hAnsi="仿宋" w:eastAsia="仿宋"/>
          <w:sz w:val="28"/>
          <w:szCs w:val="28"/>
        </w:rPr>
        <w:t>5</w:t>
      </w:r>
      <w:r>
        <w:rPr>
          <w:rFonts w:ascii="仿宋" w:hAnsi="仿宋" w:eastAsia="仿宋"/>
          <w:sz w:val="28"/>
          <w:szCs w:val="28"/>
        </w:rPr>
        <w:t>部规划教材。</w:t>
      </w:r>
      <w:r>
        <w:rPr>
          <w:rFonts w:hint="eastAsia" w:ascii="仿宋" w:hAnsi="仿宋" w:eastAsia="仿宋"/>
          <w:sz w:val="28"/>
          <w:szCs w:val="28"/>
        </w:rPr>
        <w:t>建成省级教学资源库1</w:t>
      </w:r>
      <w:r>
        <w:rPr>
          <w:rFonts w:ascii="仿宋" w:hAnsi="仿宋" w:eastAsia="仿宋"/>
          <w:sz w:val="28"/>
          <w:szCs w:val="28"/>
        </w:rPr>
        <w:t>个，认定省级在线精品开放课程</w:t>
      </w:r>
      <w:r>
        <w:rPr>
          <w:rFonts w:hint="eastAsia" w:ascii="仿宋" w:hAnsi="仿宋" w:eastAsia="仿宋"/>
          <w:sz w:val="28"/>
          <w:szCs w:val="28"/>
        </w:rPr>
        <w:t>5</w:t>
      </w:r>
      <w:r>
        <w:rPr>
          <w:rFonts w:ascii="仿宋" w:hAnsi="仿宋" w:eastAsia="仿宋"/>
          <w:sz w:val="28"/>
          <w:szCs w:val="28"/>
        </w:rPr>
        <w:t>门，健全资源认证标准。</w:t>
      </w:r>
    </w:p>
    <w:p>
      <w:pPr>
        <w:spacing w:line="540" w:lineRule="exact"/>
        <w:ind w:firstLine="562" w:firstLineChars="200"/>
        <w:rPr>
          <w:rFonts w:ascii="仿宋" w:hAnsi="仿宋" w:eastAsia="仿宋"/>
          <w:sz w:val="28"/>
          <w:szCs w:val="28"/>
        </w:rPr>
      </w:pPr>
      <w:r>
        <w:rPr>
          <w:rFonts w:ascii="仿宋" w:hAnsi="仿宋" w:eastAsia="仿宋"/>
          <w:b/>
          <w:bCs/>
          <w:sz w:val="28"/>
          <w:szCs w:val="28"/>
        </w:rPr>
        <w:t>以专业群为单位，按照“系统导向、功能复用、虚实结合、内外联动”思路，升级实训教学条件。</w:t>
      </w:r>
      <w:r>
        <w:rPr>
          <w:rFonts w:ascii="仿宋" w:hAnsi="仿宋" w:eastAsia="仿宋"/>
          <w:sz w:val="28"/>
          <w:szCs w:val="28"/>
        </w:rPr>
        <w:t>以各专业群的产教融合平台为核心，借助平台生产设备和真实运营环境，根据“系统体现全生产过程”和“教学、培训、双创、研发多功能 复用”要求，打造企业级实训基地；完善实训项目开发，形成“技能链”，培养学生</w:t>
      </w:r>
      <w:r>
        <w:rPr>
          <w:rFonts w:hint="eastAsia" w:ascii="仿宋" w:hAnsi="仿宋" w:eastAsia="仿宋"/>
          <w:sz w:val="28"/>
          <w:szCs w:val="28"/>
          <w:lang w:eastAsia="zh-CN"/>
        </w:rPr>
        <w:t>系统</w:t>
      </w:r>
      <w:r>
        <w:rPr>
          <w:rFonts w:ascii="仿宋" w:hAnsi="仿宋" w:eastAsia="仿宋"/>
          <w:sz w:val="28"/>
          <w:szCs w:val="28"/>
        </w:rPr>
        <w:t>思维和综合实践技能，提升问题解决能力。遴选优质企业拓建一批校外实训基地，充分保障学生工学交替和</w:t>
      </w:r>
      <w:r>
        <w:rPr>
          <w:rFonts w:hint="eastAsia" w:ascii="仿宋" w:hAnsi="仿宋" w:eastAsia="仿宋"/>
          <w:sz w:val="28"/>
          <w:szCs w:val="28"/>
        </w:rPr>
        <w:t>岗位</w:t>
      </w:r>
      <w:r>
        <w:rPr>
          <w:rFonts w:ascii="仿宋" w:hAnsi="仿宋" w:eastAsia="仿宋"/>
          <w:sz w:val="28"/>
          <w:szCs w:val="28"/>
        </w:rPr>
        <w:t xml:space="preserve">实习所需。 </w:t>
      </w:r>
    </w:p>
    <w:p>
      <w:pPr>
        <w:spacing w:line="540" w:lineRule="exact"/>
        <w:ind w:firstLine="562" w:firstLineChars="200"/>
        <w:rPr>
          <w:rFonts w:ascii="仿宋" w:hAnsi="仿宋" w:eastAsia="仿宋"/>
          <w:sz w:val="28"/>
          <w:szCs w:val="28"/>
        </w:rPr>
      </w:pPr>
      <w:r>
        <w:rPr>
          <w:rFonts w:ascii="仿宋" w:hAnsi="仿宋" w:eastAsia="仿宋"/>
          <w:b/>
          <w:bCs/>
          <w:sz w:val="28"/>
          <w:szCs w:val="28"/>
        </w:rPr>
        <w:t>开展“动课工程”，以课堂教学为着力点，推进“三教”改革。</w:t>
      </w:r>
      <w:r>
        <w:rPr>
          <w:rFonts w:ascii="仿宋" w:hAnsi="仿宋" w:eastAsia="仿宋"/>
          <w:sz w:val="28"/>
          <w:szCs w:val="28"/>
        </w:rPr>
        <w:t>以“触动心灵的价值引领”为要求，全面推进“课程思政”建设；以“联动岗位的教学内容”为要求，引入企业真实任务，基于职业活动的内在逻辑，组建跨专业教学创新团队，探索分工协作的模块式教学；以“行动导向的教学设计”为要求，按照工作过程，优化学习情境，广泛实施项目教学、案例教学、分组教学、工作坊教学等教学法；以“互动互促的课堂生态”为要求，加强师生、生生课上课下、线上线下互动；以“移动泛在的学习方式”为要求，优化移动学习环境和资源建设，大力推进混合式教学。围绕“五动”课堂建设，设立课程建设专项、开展专题培训、 建立教师发展共同体和教学创新团队，推动教师更新教育理念、掌握先进教法、增强职业认同，帮助教师提升教学获得感。到2025年，</w:t>
      </w:r>
      <w:r>
        <w:rPr>
          <w:rFonts w:hint="eastAsia" w:ascii="仿宋" w:hAnsi="仿宋" w:eastAsia="仿宋"/>
          <w:sz w:val="28"/>
          <w:szCs w:val="28"/>
        </w:rPr>
        <w:t>省级</w:t>
      </w:r>
      <w:r>
        <w:rPr>
          <w:rFonts w:ascii="仿宋" w:hAnsi="仿宋" w:eastAsia="仿宋"/>
          <w:sz w:val="28"/>
          <w:szCs w:val="28"/>
        </w:rPr>
        <w:t>专业群“五动” 课堂改革覆盖全部课程，其余专业群“五动”课堂改革覆盖80%的课程。</w:t>
      </w:r>
    </w:p>
    <w:tbl>
      <w:tblPr>
        <w:tblStyle w:val="34"/>
        <w:tblW w:w="831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84"/>
        <w:gridCol w:w="1128"/>
        <w:gridCol w:w="65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8" w:hRule="atLeast"/>
          <w:jc w:val="center"/>
        </w:trPr>
        <w:tc>
          <w:tcPr>
            <w:tcW w:w="684" w:type="dxa"/>
            <w:shd w:val="clear" w:color="auto" w:fill="4874CB" w:themeFill="accent1"/>
            <w:vAlign w:val="center"/>
          </w:tcPr>
          <w:p>
            <w:pPr>
              <w:widowControl/>
              <w:topLinePunct/>
              <w:autoSpaceDE w:val="0"/>
              <w:autoSpaceDN w:val="0"/>
              <w:spacing w:line="560" w:lineRule="exact"/>
              <w:jc w:val="center"/>
              <w:rPr>
                <w:rFonts w:ascii="仿宋" w:hAnsi="仿宋" w:eastAsia="仿宋" w:cs="仿宋"/>
                <w:b/>
                <w:bCs/>
                <w:color w:val="000000"/>
                <w:kern w:val="0"/>
                <w:szCs w:val="21"/>
                <w:lang w:eastAsia="en-US"/>
              </w:rPr>
            </w:pPr>
            <w:r>
              <w:rPr>
                <w:rFonts w:hint="eastAsia" w:ascii="仿宋" w:hAnsi="仿宋" w:eastAsia="仿宋" w:cs="仿宋"/>
                <w:b/>
                <w:bCs/>
                <w:color w:val="000000"/>
                <w:kern w:val="0"/>
                <w:szCs w:val="21"/>
                <w:lang w:eastAsia="en-US"/>
              </w:rPr>
              <w:t>类别</w:t>
            </w:r>
          </w:p>
        </w:tc>
        <w:tc>
          <w:tcPr>
            <w:tcW w:w="7632" w:type="dxa"/>
            <w:gridSpan w:val="2"/>
            <w:shd w:val="clear" w:color="auto" w:fill="4874CB" w:themeFill="accent1"/>
            <w:vAlign w:val="center"/>
          </w:tcPr>
          <w:p>
            <w:pPr>
              <w:widowControl/>
              <w:topLinePunct/>
              <w:autoSpaceDE w:val="0"/>
              <w:autoSpaceDN w:val="0"/>
              <w:spacing w:line="560" w:lineRule="exact"/>
              <w:jc w:val="center"/>
              <w:rPr>
                <w:rFonts w:ascii="仿宋" w:hAnsi="仿宋" w:eastAsia="仿宋" w:cs="仿宋"/>
                <w:b/>
                <w:bCs/>
                <w:color w:val="000000"/>
                <w:kern w:val="0"/>
                <w:szCs w:val="21"/>
                <w:lang w:eastAsia="en-US"/>
              </w:rPr>
            </w:pPr>
            <w:r>
              <w:rPr>
                <w:rFonts w:hint="eastAsia" w:ascii="仿宋" w:hAnsi="仿宋" w:eastAsia="仿宋" w:cs="仿宋"/>
                <w:b/>
                <w:bCs/>
                <w:color w:val="000000"/>
                <w:kern w:val="0"/>
                <w:szCs w:val="21"/>
                <w:lang w:eastAsia="en-US"/>
              </w:rPr>
              <w:t>项目计划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9" w:hRule="atLeast"/>
          <w:jc w:val="center"/>
        </w:trPr>
        <w:tc>
          <w:tcPr>
            <w:tcW w:w="684" w:type="dxa"/>
            <w:vMerge w:val="restart"/>
            <w:vAlign w:val="center"/>
          </w:tcPr>
          <w:p>
            <w:pPr>
              <w:autoSpaceDE w:val="0"/>
              <w:autoSpaceDN w:val="0"/>
              <w:jc w:val="center"/>
              <w:rPr>
                <w:rFonts w:ascii="仿宋" w:hAnsi="仿宋" w:eastAsia="仿宋" w:cs="仿宋"/>
                <w:b/>
                <w:bCs/>
                <w:szCs w:val="21"/>
                <w:lang w:val="zh-CN" w:eastAsia="en-US" w:bidi="zh-CN"/>
              </w:rPr>
            </w:pPr>
            <w:r>
              <w:rPr>
                <w:rFonts w:hint="eastAsia" w:ascii="仿宋" w:hAnsi="仿宋" w:eastAsia="仿宋" w:cs="仿宋"/>
                <w:b/>
                <w:bCs/>
                <w:spacing w:val="-5"/>
                <w:szCs w:val="21"/>
                <w:lang w:val="zh-CN" w:eastAsia="en-US" w:bidi="zh-CN"/>
              </w:rPr>
              <w:t>省级</w:t>
            </w:r>
          </w:p>
          <w:p>
            <w:pPr>
              <w:autoSpaceDE w:val="0"/>
              <w:autoSpaceDN w:val="0"/>
              <w:jc w:val="center"/>
              <w:rPr>
                <w:rFonts w:ascii="仿宋" w:hAnsi="仿宋" w:eastAsia="仿宋" w:cs="仿宋"/>
                <w:szCs w:val="21"/>
                <w:lang w:val="zh-CN" w:eastAsia="en-US" w:bidi="zh-CN"/>
              </w:rPr>
            </w:pPr>
            <w:r>
              <w:rPr>
                <w:rFonts w:hint="eastAsia" w:ascii="仿宋" w:hAnsi="仿宋" w:eastAsia="仿宋" w:cs="仿宋"/>
                <w:b/>
                <w:bCs/>
                <w:szCs w:val="21"/>
                <w:lang w:val="zh-CN" w:eastAsia="en-US" w:bidi="zh-CN"/>
              </w:rPr>
              <w:t>（2个</w:t>
            </w:r>
            <w:r>
              <w:rPr>
                <w:rFonts w:hint="eastAsia" w:ascii="仿宋" w:hAnsi="仿宋" w:eastAsia="仿宋" w:cs="仿宋"/>
                <w:spacing w:val="-10"/>
                <w:szCs w:val="21"/>
                <w:lang w:val="zh-CN" w:eastAsia="en-US" w:bidi="zh-CN"/>
              </w:rPr>
              <w:t>）</w:t>
            </w:r>
          </w:p>
        </w:tc>
        <w:tc>
          <w:tcPr>
            <w:tcW w:w="1128" w:type="dxa"/>
            <w:vAlign w:val="center"/>
          </w:tcPr>
          <w:p>
            <w:pPr>
              <w:autoSpaceDE w:val="0"/>
              <w:autoSpaceDN w:val="0"/>
              <w:jc w:val="center"/>
              <w:rPr>
                <w:rFonts w:ascii="仿宋" w:hAnsi="仿宋" w:eastAsia="仿宋" w:cs="仿宋"/>
                <w:szCs w:val="21"/>
                <w:lang w:val="zh-CN" w:eastAsia="en-US" w:bidi="zh-CN"/>
              </w:rPr>
            </w:pPr>
            <w:r>
              <w:rPr>
                <w:rFonts w:hint="eastAsia" w:ascii="仿宋" w:hAnsi="仿宋" w:eastAsia="仿宋" w:cs="仿宋"/>
                <w:spacing w:val="-2"/>
                <w:szCs w:val="21"/>
                <w:lang w:val="zh-CN" w:eastAsia="en-US" w:bidi="zh-CN"/>
              </w:rPr>
              <w:t>人才培养模</w:t>
            </w:r>
            <w:r>
              <w:rPr>
                <w:rFonts w:hint="eastAsia" w:ascii="仿宋" w:hAnsi="仿宋" w:eastAsia="仿宋" w:cs="仿宋"/>
                <w:spacing w:val="-4"/>
                <w:szCs w:val="21"/>
                <w:lang w:val="zh-CN" w:eastAsia="en-US" w:bidi="zh-CN"/>
              </w:rPr>
              <w:t>式创新</w:t>
            </w:r>
          </w:p>
        </w:tc>
        <w:tc>
          <w:tcPr>
            <w:tcW w:w="6504" w:type="dxa"/>
            <w:vAlign w:val="center"/>
          </w:tcPr>
          <w:p>
            <w:pPr>
              <w:autoSpaceDE w:val="0"/>
              <w:autoSpaceDN w:val="0"/>
              <w:jc w:val="center"/>
              <w:rPr>
                <w:rFonts w:ascii="仿宋" w:hAnsi="仿宋" w:eastAsia="仿宋" w:cs="仿宋"/>
                <w:szCs w:val="21"/>
                <w:lang w:val="zh-CN" w:eastAsia="zh-CN" w:bidi="zh-CN"/>
              </w:rPr>
            </w:pPr>
            <w:r>
              <w:rPr>
                <w:rFonts w:hint="eastAsia" w:ascii="仿宋" w:hAnsi="仿宋" w:eastAsia="仿宋" w:cs="仿宋"/>
                <w:spacing w:val="3"/>
                <w:szCs w:val="21"/>
                <w:lang w:val="zh-CN" w:eastAsia="zh-CN" w:bidi="zh-CN"/>
              </w:rPr>
              <w:t>结合职教特点创新形成人才培养模式；创新人才培养方</w:t>
            </w:r>
            <w:r>
              <w:rPr>
                <w:rFonts w:hint="eastAsia" w:ascii="仿宋" w:hAnsi="仿宋" w:eastAsia="仿宋" w:cs="仿宋"/>
                <w:spacing w:val="-3"/>
                <w:szCs w:val="21"/>
                <w:lang w:val="zh-CN" w:eastAsia="zh-CN" w:bidi="zh-CN"/>
              </w:rPr>
              <w:t>案；构建融合劳动育人</w:t>
            </w:r>
            <w:r>
              <w:rPr>
                <w:rFonts w:hint="eastAsia" w:ascii="仿宋" w:hAnsi="仿宋" w:eastAsia="仿宋" w:cs="仿宋"/>
                <w:spacing w:val="-52"/>
                <w:szCs w:val="21"/>
                <w:lang w:val="zh-CN" w:eastAsia="zh-CN" w:bidi="zh-CN"/>
              </w:rPr>
              <w:t>、“</w:t>
            </w:r>
            <w:r>
              <w:rPr>
                <w:rFonts w:hint="eastAsia" w:ascii="仿宋" w:hAnsi="仿宋" w:eastAsia="仿宋" w:cs="仿宋"/>
                <w:spacing w:val="1"/>
                <w:szCs w:val="21"/>
                <w:lang w:val="zh-CN" w:eastAsia="zh-CN" w:bidi="zh-CN"/>
              </w:rPr>
              <w:t>1+</w:t>
            </w:r>
            <w:r>
              <w:rPr>
                <w:rFonts w:hint="eastAsia" w:ascii="仿宋" w:hAnsi="仿宋" w:eastAsia="仿宋" w:cs="仿宋"/>
                <w:spacing w:val="-2"/>
                <w:szCs w:val="21"/>
                <w:lang w:val="zh-CN" w:eastAsia="zh-CN" w:bidi="zh-CN"/>
              </w:rPr>
              <w:t>X</w:t>
            </w:r>
            <w:r>
              <w:rPr>
                <w:rFonts w:hint="eastAsia" w:ascii="仿宋" w:hAnsi="仿宋" w:eastAsia="仿宋" w:cs="仿宋"/>
                <w:spacing w:val="-4"/>
                <w:szCs w:val="21"/>
                <w:lang w:val="zh-CN" w:eastAsia="zh-CN" w:bidi="zh-CN"/>
              </w:rPr>
              <w:t>”证书制度的专业群课程体</w:t>
            </w:r>
            <w:r>
              <w:rPr>
                <w:rFonts w:hint="eastAsia" w:ascii="仿宋" w:hAnsi="仿宋" w:eastAsia="仿宋" w:cs="仿宋"/>
                <w:spacing w:val="-8"/>
                <w:szCs w:val="21"/>
                <w:lang w:val="zh-CN" w:eastAsia="zh-CN" w:bidi="zh-CN"/>
              </w:rPr>
              <w:t>系；构建“全员参与”的创新创业教育体系。根据企业需</w:t>
            </w:r>
            <w:r>
              <w:rPr>
                <w:rFonts w:hint="eastAsia" w:ascii="仿宋" w:hAnsi="仿宋" w:eastAsia="仿宋" w:cs="仿宋"/>
                <w:spacing w:val="-4"/>
                <w:szCs w:val="21"/>
                <w:lang w:val="zh-CN" w:eastAsia="zh-CN" w:bidi="zh-CN"/>
              </w:rPr>
              <w:t xml:space="preserve">求建立现代学徒制、订单班 </w:t>
            </w:r>
            <w:r>
              <w:rPr>
                <w:rFonts w:hint="eastAsia" w:ascii="仿宋" w:hAnsi="仿宋" w:eastAsia="仿宋" w:cs="仿宋"/>
                <w:szCs w:val="21"/>
                <w:lang w:val="zh-CN" w:eastAsia="zh-CN" w:bidi="zh-CN"/>
              </w:rPr>
              <w:t>2</w:t>
            </w:r>
            <w:r>
              <w:rPr>
                <w:rFonts w:hint="eastAsia" w:ascii="仿宋" w:hAnsi="仿宋" w:eastAsia="仿宋" w:cs="仿宋"/>
                <w:spacing w:val="-8"/>
                <w:szCs w:val="21"/>
                <w:lang w:val="zh-CN" w:eastAsia="zh-CN" w:bidi="zh-CN"/>
              </w:rPr>
              <w:t xml:space="preserve"> 个以上项目。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jc w:val="center"/>
        </w:trPr>
        <w:tc>
          <w:tcPr>
            <w:tcW w:w="684" w:type="dxa"/>
            <w:vMerge w:val="continue"/>
            <w:tcBorders>
              <w:top w:val="nil"/>
            </w:tcBorders>
            <w:vAlign w:val="center"/>
          </w:tcPr>
          <w:p>
            <w:pPr>
              <w:autoSpaceDE w:val="0"/>
              <w:autoSpaceDN w:val="0"/>
              <w:jc w:val="center"/>
              <w:rPr>
                <w:rFonts w:ascii="仿宋" w:hAnsi="仿宋" w:eastAsia="仿宋" w:cs="仿宋"/>
                <w:kern w:val="0"/>
                <w:szCs w:val="21"/>
                <w:lang w:eastAsia="zh-CN"/>
              </w:rPr>
            </w:pPr>
          </w:p>
        </w:tc>
        <w:tc>
          <w:tcPr>
            <w:tcW w:w="1128" w:type="dxa"/>
            <w:vAlign w:val="center"/>
          </w:tcPr>
          <w:p>
            <w:pPr>
              <w:autoSpaceDE w:val="0"/>
              <w:autoSpaceDN w:val="0"/>
              <w:jc w:val="center"/>
              <w:rPr>
                <w:rFonts w:ascii="仿宋" w:hAnsi="仿宋" w:eastAsia="仿宋" w:cs="仿宋"/>
                <w:szCs w:val="21"/>
                <w:lang w:val="zh-CN" w:eastAsia="en-US" w:bidi="zh-CN"/>
              </w:rPr>
            </w:pPr>
            <w:r>
              <w:rPr>
                <w:rFonts w:hint="eastAsia" w:ascii="仿宋" w:hAnsi="仿宋" w:eastAsia="仿宋" w:cs="仿宋"/>
                <w:spacing w:val="-2"/>
                <w:szCs w:val="21"/>
                <w:lang w:val="zh-CN" w:eastAsia="en-US" w:bidi="zh-CN"/>
              </w:rPr>
              <w:t>课程教学资</w:t>
            </w:r>
            <w:r>
              <w:rPr>
                <w:rFonts w:hint="eastAsia" w:ascii="仿宋" w:hAnsi="仿宋" w:eastAsia="仿宋" w:cs="仿宋"/>
                <w:spacing w:val="-4"/>
                <w:szCs w:val="21"/>
                <w:lang w:val="zh-CN" w:eastAsia="en-US" w:bidi="zh-CN"/>
              </w:rPr>
              <w:t>源建设</w:t>
            </w:r>
          </w:p>
        </w:tc>
        <w:tc>
          <w:tcPr>
            <w:tcW w:w="6504" w:type="dxa"/>
            <w:vAlign w:val="center"/>
          </w:tcPr>
          <w:p>
            <w:pPr>
              <w:autoSpaceDE w:val="0"/>
              <w:autoSpaceDN w:val="0"/>
              <w:jc w:val="center"/>
              <w:rPr>
                <w:rFonts w:ascii="仿宋" w:hAnsi="仿宋" w:eastAsia="仿宋" w:cs="仿宋"/>
                <w:szCs w:val="21"/>
                <w:lang w:val="zh-CN" w:eastAsia="zh-CN" w:bidi="zh-CN"/>
              </w:rPr>
            </w:pPr>
            <w:r>
              <w:rPr>
                <w:rFonts w:hint="eastAsia" w:ascii="仿宋" w:hAnsi="仿宋" w:eastAsia="仿宋" w:cs="仿宋"/>
                <w:spacing w:val="-2"/>
                <w:szCs w:val="21"/>
                <w:lang w:val="zh-CN" w:eastAsia="zh-CN" w:bidi="zh-CN"/>
              </w:rPr>
              <w:t>专业课分级推进“课程思政”建设，融入工匠精神，将社</w:t>
            </w:r>
            <w:r>
              <w:rPr>
                <w:rFonts w:hint="eastAsia" w:ascii="仿宋" w:hAnsi="仿宋" w:eastAsia="仿宋" w:cs="仿宋"/>
                <w:spacing w:val="-3"/>
                <w:szCs w:val="21"/>
                <w:lang w:val="zh-CN" w:eastAsia="zh-CN" w:bidi="zh-CN"/>
              </w:rPr>
              <w:t>会主义核心价值观贯穿于人才培养全过程；建设智慧型教</w:t>
            </w:r>
            <w:r>
              <w:rPr>
                <w:rFonts w:hint="eastAsia" w:ascii="仿宋" w:hAnsi="仿宋" w:eastAsia="仿宋" w:cs="仿宋"/>
                <w:spacing w:val="-9"/>
                <w:szCs w:val="21"/>
                <w:lang w:val="zh-CN" w:eastAsia="zh-CN" w:bidi="zh-CN"/>
              </w:rPr>
              <w:t xml:space="preserve">学资源库 </w:t>
            </w:r>
            <w:r>
              <w:rPr>
                <w:rFonts w:hint="eastAsia" w:ascii="仿宋" w:hAnsi="仿宋" w:eastAsia="仿宋" w:cs="仿宋"/>
                <w:spacing w:val="-2"/>
                <w:szCs w:val="21"/>
                <w:lang w:val="zh-CN" w:eastAsia="zh-CN" w:bidi="zh-CN"/>
              </w:rPr>
              <w:t>2</w:t>
            </w:r>
            <w:r>
              <w:rPr>
                <w:rFonts w:hint="eastAsia" w:ascii="仿宋" w:hAnsi="仿宋" w:eastAsia="仿宋" w:cs="仿宋"/>
                <w:spacing w:val="-11"/>
                <w:szCs w:val="21"/>
                <w:lang w:val="zh-CN" w:eastAsia="zh-CN" w:bidi="zh-CN"/>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jc w:val="center"/>
        </w:trPr>
        <w:tc>
          <w:tcPr>
            <w:tcW w:w="684" w:type="dxa"/>
            <w:vMerge w:val="continue"/>
            <w:tcBorders>
              <w:top w:val="nil"/>
            </w:tcBorders>
            <w:vAlign w:val="center"/>
          </w:tcPr>
          <w:p>
            <w:pPr>
              <w:autoSpaceDE w:val="0"/>
              <w:autoSpaceDN w:val="0"/>
              <w:jc w:val="center"/>
              <w:rPr>
                <w:rFonts w:ascii="仿宋" w:hAnsi="仿宋" w:eastAsia="仿宋" w:cs="仿宋"/>
                <w:kern w:val="0"/>
                <w:szCs w:val="21"/>
                <w:lang w:eastAsia="zh-CN"/>
              </w:rPr>
            </w:pPr>
          </w:p>
        </w:tc>
        <w:tc>
          <w:tcPr>
            <w:tcW w:w="1128" w:type="dxa"/>
            <w:vAlign w:val="center"/>
          </w:tcPr>
          <w:p>
            <w:pPr>
              <w:autoSpaceDE w:val="0"/>
              <w:autoSpaceDN w:val="0"/>
              <w:jc w:val="center"/>
              <w:rPr>
                <w:rFonts w:ascii="仿宋" w:hAnsi="仿宋" w:eastAsia="仿宋" w:cs="仿宋"/>
                <w:szCs w:val="21"/>
                <w:lang w:val="zh-CN" w:eastAsia="en-US" w:bidi="zh-CN"/>
              </w:rPr>
            </w:pPr>
            <w:r>
              <w:rPr>
                <w:rFonts w:hint="eastAsia" w:ascii="仿宋" w:hAnsi="仿宋" w:eastAsia="仿宋" w:cs="仿宋"/>
                <w:spacing w:val="-2"/>
                <w:szCs w:val="21"/>
                <w:lang w:val="zh-CN" w:eastAsia="en-US" w:bidi="zh-CN"/>
              </w:rPr>
              <w:t>教材与教法</w:t>
            </w:r>
            <w:r>
              <w:rPr>
                <w:rFonts w:hint="eastAsia" w:ascii="仿宋" w:hAnsi="仿宋" w:eastAsia="仿宋" w:cs="仿宋"/>
                <w:spacing w:val="-6"/>
                <w:szCs w:val="21"/>
                <w:lang w:val="zh-CN" w:eastAsia="en-US" w:bidi="zh-CN"/>
              </w:rPr>
              <w:t>改革</w:t>
            </w:r>
          </w:p>
        </w:tc>
        <w:tc>
          <w:tcPr>
            <w:tcW w:w="6504" w:type="dxa"/>
            <w:vAlign w:val="center"/>
          </w:tcPr>
          <w:p>
            <w:pPr>
              <w:autoSpaceDE w:val="0"/>
              <w:autoSpaceDN w:val="0"/>
              <w:jc w:val="center"/>
              <w:rPr>
                <w:rFonts w:ascii="仿宋" w:hAnsi="仿宋" w:eastAsia="仿宋" w:cs="仿宋"/>
                <w:szCs w:val="21"/>
                <w:lang w:val="zh-CN" w:eastAsia="zh-CN" w:bidi="zh-CN"/>
              </w:rPr>
            </w:pPr>
            <w:r>
              <w:rPr>
                <w:rFonts w:hint="eastAsia" w:ascii="仿宋" w:hAnsi="仿宋" w:eastAsia="仿宋" w:cs="仿宋"/>
                <w:spacing w:val="3"/>
                <w:szCs w:val="21"/>
                <w:lang w:val="zh-CN" w:eastAsia="zh-CN" w:bidi="zh-CN"/>
              </w:rPr>
              <w:t>与企业合作开发基于云平台的立体教材，充分利用大数</w:t>
            </w:r>
            <w:r>
              <w:rPr>
                <w:rFonts w:hint="eastAsia" w:ascii="仿宋" w:hAnsi="仿宋" w:eastAsia="仿宋" w:cs="仿宋"/>
                <w:spacing w:val="-13"/>
                <w:szCs w:val="21"/>
                <w:lang w:val="zh-CN" w:eastAsia="zh-CN" w:bidi="zh-CN"/>
              </w:rPr>
              <w:t>据、人工智能、移动互联网和云计算等各自的特点和优势，</w:t>
            </w:r>
            <w:r>
              <w:rPr>
                <w:rFonts w:hint="eastAsia" w:ascii="仿宋" w:hAnsi="仿宋" w:eastAsia="仿宋" w:cs="仿宋"/>
                <w:spacing w:val="-4"/>
                <w:szCs w:val="21"/>
                <w:lang w:val="zh-CN" w:eastAsia="zh-CN" w:bidi="zh-CN"/>
              </w:rPr>
              <w:t>将活页式纸质教材、数字化资源有效整合，实施“互联网</w:t>
            </w:r>
            <w:r>
              <w:rPr>
                <w:rFonts w:hint="eastAsia" w:ascii="仿宋" w:hAnsi="仿宋" w:eastAsia="仿宋" w:cs="仿宋"/>
                <w:spacing w:val="-17"/>
                <w:szCs w:val="21"/>
                <w:lang w:val="zh-CN" w:eastAsia="zh-CN" w:bidi="zh-CN"/>
              </w:rPr>
              <w:t>+教育”，为线上线下混合教学提供保障，促进学习者自主、</w:t>
            </w:r>
            <w:r>
              <w:rPr>
                <w:rFonts w:hint="eastAsia" w:ascii="仿宋" w:hAnsi="仿宋" w:eastAsia="仿宋" w:cs="仿宋"/>
                <w:spacing w:val="-2"/>
                <w:szCs w:val="21"/>
                <w:lang w:val="zh-CN" w:eastAsia="zh-CN" w:bidi="zh-CN"/>
              </w:rPr>
              <w:t>泛在、个性化学习。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8" w:hRule="atLeast"/>
          <w:jc w:val="center"/>
        </w:trPr>
        <w:tc>
          <w:tcPr>
            <w:tcW w:w="684" w:type="dxa"/>
            <w:vMerge w:val="continue"/>
            <w:tcBorders>
              <w:top w:val="nil"/>
            </w:tcBorders>
            <w:vAlign w:val="center"/>
          </w:tcPr>
          <w:p>
            <w:pPr>
              <w:autoSpaceDE w:val="0"/>
              <w:autoSpaceDN w:val="0"/>
              <w:jc w:val="center"/>
              <w:rPr>
                <w:rFonts w:ascii="仿宋" w:hAnsi="仿宋" w:eastAsia="仿宋" w:cs="仿宋"/>
                <w:kern w:val="0"/>
                <w:szCs w:val="21"/>
                <w:lang w:eastAsia="zh-CN"/>
              </w:rPr>
            </w:pPr>
          </w:p>
        </w:tc>
        <w:tc>
          <w:tcPr>
            <w:tcW w:w="1128" w:type="dxa"/>
            <w:vAlign w:val="center"/>
          </w:tcPr>
          <w:p>
            <w:pPr>
              <w:autoSpaceDE w:val="0"/>
              <w:autoSpaceDN w:val="0"/>
              <w:jc w:val="center"/>
              <w:rPr>
                <w:rFonts w:ascii="仿宋" w:hAnsi="仿宋" w:eastAsia="仿宋" w:cs="仿宋"/>
                <w:szCs w:val="21"/>
                <w:lang w:val="zh-CN" w:eastAsia="en-US" w:bidi="zh-CN"/>
              </w:rPr>
            </w:pPr>
            <w:r>
              <w:rPr>
                <w:rFonts w:hint="eastAsia" w:ascii="仿宋" w:hAnsi="仿宋" w:eastAsia="仿宋" w:cs="仿宋"/>
                <w:spacing w:val="-2"/>
                <w:szCs w:val="21"/>
                <w:lang w:val="zh-CN" w:eastAsia="en-US" w:bidi="zh-CN"/>
              </w:rPr>
              <w:t>教师教学创</w:t>
            </w:r>
            <w:r>
              <w:rPr>
                <w:rFonts w:hint="eastAsia" w:ascii="仿宋" w:hAnsi="仿宋" w:eastAsia="仿宋" w:cs="仿宋"/>
                <w:spacing w:val="-4"/>
                <w:szCs w:val="21"/>
                <w:lang w:val="zh-CN" w:eastAsia="en-US" w:bidi="zh-CN"/>
              </w:rPr>
              <w:t>新团队</w:t>
            </w:r>
          </w:p>
        </w:tc>
        <w:tc>
          <w:tcPr>
            <w:tcW w:w="6504" w:type="dxa"/>
            <w:vAlign w:val="center"/>
          </w:tcPr>
          <w:p>
            <w:pPr>
              <w:autoSpaceDE w:val="0"/>
              <w:autoSpaceDN w:val="0"/>
              <w:jc w:val="center"/>
              <w:rPr>
                <w:rFonts w:ascii="仿宋" w:hAnsi="仿宋" w:eastAsia="仿宋" w:cs="仿宋"/>
                <w:szCs w:val="21"/>
                <w:lang w:val="zh-CN" w:eastAsia="zh-CN" w:bidi="zh-CN"/>
              </w:rPr>
            </w:pPr>
            <w:r>
              <w:rPr>
                <w:rFonts w:hint="eastAsia" w:ascii="仿宋" w:hAnsi="仿宋" w:eastAsia="仿宋" w:cs="仿宋"/>
                <w:spacing w:val="2"/>
                <w:szCs w:val="21"/>
                <w:lang w:val="zh-CN" w:eastAsia="zh-CN" w:bidi="zh-CN"/>
              </w:rPr>
              <w:t xml:space="preserve">聘请行业大师名匠 </w:t>
            </w:r>
            <w:r>
              <w:rPr>
                <w:rFonts w:hint="eastAsia" w:ascii="仿宋" w:hAnsi="仿宋" w:eastAsia="仿宋" w:cs="仿宋"/>
                <w:szCs w:val="21"/>
                <w:lang w:val="zh-CN" w:eastAsia="zh-CN" w:bidi="zh-CN"/>
              </w:rPr>
              <w:t>2-3</w:t>
            </w:r>
            <w:r>
              <w:rPr>
                <w:rFonts w:hint="eastAsia" w:ascii="仿宋" w:hAnsi="仿宋" w:eastAsia="仿宋" w:cs="仿宋"/>
                <w:spacing w:val="-1"/>
                <w:szCs w:val="21"/>
                <w:lang w:val="zh-CN" w:eastAsia="zh-CN" w:bidi="zh-CN"/>
              </w:rPr>
              <w:t xml:space="preserve"> 人作为导师；力争培养或引进省</w:t>
            </w:r>
            <w:r>
              <w:rPr>
                <w:rFonts w:hint="eastAsia" w:ascii="仿宋" w:hAnsi="仿宋" w:eastAsia="仿宋" w:cs="仿宋"/>
                <w:spacing w:val="-9"/>
                <w:szCs w:val="21"/>
                <w:lang w:val="zh-CN" w:eastAsia="zh-CN" w:bidi="zh-CN"/>
              </w:rPr>
              <w:t xml:space="preserve">级教学名师 </w:t>
            </w:r>
            <w:r>
              <w:rPr>
                <w:rFonts w:hint="eastAsia" w:ascii="仿宋" w:hAnsi="仿宋" w:eastAsia="仿宋" w:cs="仿宋"/>
                <w:spacing w:val="-2"/>
                <w:szCs w:val="21"/>
                <w:lang w:val="zh-CN" w:eastAsia="zh-CN" w:bidi="zh-CN"/>
              </w:rPr>
              <w:t>1</w:t>
            </w:r>
            <w:r>
              <w:rPr>
                <w:rFonts w:hint="eastAsia" w:ascii="仿宋" w:hAnsi="仿宋" w:eastAsia="仿宋" w:cs="仿宋"/>
                <w:spacing w:val="-12"/>
                <w:szCs w:val="21"/>
                <w:lang w:val="zh-CN" w:eastAsia="zh-CN" w:bidi="zh-CN"/>
              </w:rPr>
              <w:t xml:space="preserve"> 位，建成省级教学创新团队 </w:t>
            </w:r>
            <w:r>
              <w:rPr>
                <w:rFonts w:hint="eastAsia" w:ascii="仿宋" w:hAnsi="仿宋" w:eastAsia="仿宋" w:cs="仿宋"/>
                <w:spacing w:val="-2"/>
                <w:szCs w:val="21"/>
                <w:lang w:val="zh-CN" w:eastAsia="zh-CN" w:bidi="zh-CN"/>
              </w:rPr>
              <w:t>1</w:t>
            </w:r>
            <w:r>
              <w:rPr>
                <w:rFonts w:hint="eastAsia" w:ascii="仿宋" w:hAnsi="仿宋" w:eastAsia="仿宋" w:cs="仿宋"/>
                <w:spacing w:val="-9"/>
                <w:szCs w:val="21"/>
                <w:lang w:val="zh-CN" w:eastAsia="zh-CN" w:bidi="zh-CN"/>
              </w:rPr>
              <w:t xml:space="preserve"> 个；获教师教</w:t>
            </w:r>
            <w:r>
              <w:rPr>
                <w:rFonts w:hint="eastAsia" w:ascii="仿宋" w:hAnsi="仿宋" w:eastAsia="仿宋" w:cs="仿宋"/>
                <w:spacing w:val="-2"/>
                <w:szCs w:val="21"/>
                <w:lang w:val="zh-CN" w:eastAsia="zh-CN" w:bidi="zh-CN"/>
              </w:rPr>
              <w:t xml:space="preserve">学能力大赛省级奖项 </w:t>
            </w:r>
            <w:r>
              <w:rPr>
                <w:rFonts w:hint="eastAsia" w:ascii="仿宋" w:hAnsi="仿宋" w:eastAsia="仿宋" w:cs="仿宋"/>
                <w:szCs w:val="21"/>
                <w:lang w:val="zh-CN" w:eastAsia="zh-CN" w:bidi="zh-CN"/>
              </w:rPr>
              <w:t>2～3</w:t>
            </w:r>
            <w:r>
              <w:rPr>
                <w:rFonts w:hint="eastAsia" w:ascii="仿宋" w:hAnsi="仿宋" w:eastAsia="仿宋" w:cs="仿宋"/>
                <w:spacing w:val="-7"/>
                <w:szCs w:val="21"/>
                <w:lang w:val="zh-CN" w:eastAsia="zh-CN" w:bidi="zh-CN"/>
              </w:rPr>
              <w:t xml:space="preserve"> 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2" w:hRule="atLeast"/>
          <w:jc w:val="center"/>
        </w:trPr>
        <w:tc>
          <w:tcPr>
            <w:tcW w:w="684" w:type="dxa"/>
            <w:vMerge w:val="continue"/>
            <w:tcBorders>
              <w:top w:val="nil"/>
            </w:tcBorders>
            <w:vAlign w:val="center"/>
          </w:tcPr>
          <w:p>
            <w:pPr>
              <w:autoSpaceDE w:val="0"/>
              <w:autoSpaceDN w:val="0"/>
              <w:jc w:val="center"/>
              <w:rPr>
                <w:rFonts w:ascii="仿宋" w:hAnsi="仿宋" w:eastAsia="仿宋" w:cs="仿宋"/>
                <w:kern w:val="0"/>
                <w:szCs w:val="21"/>
                <w:lang w:eastAsia="zh-CN"/>
              </w:rPr>
            </w:pPr>
          </w:p>
        </w:tc>
        <w:tc>
          <w:tcPr>
            <w:tcW w:w="1128" w:type="dxa"/>
            <w:vAlign w:val="center"/>
          </w:tcPr>
          <w:p>
            <w:pPr>
              <w:autoSpaceDE w:val="0"/>
              <w:autoSpaceDN w:val="0"/>
              <w:jc w:val="center"/>
              <w:rPr>
                <w:rFonts w:ascii="仿宋" w:hAnsi="仿宋" w:eastAsia="仿宋" w:cs="仿宋"/>
                <w:szCs w:val="21"/>
                <w:lang w:val="zh-CN" w:eastAsia="en-US" w:bidi="zh-CN"/>
              </w:rPr>
            </w:pPr>
            <w:r>
              <w:rPr>
                <w:rFonts w:hint="eastAsia" w:ascii="仿宋" w:hAnsi="仿宋" w:eastAsia="仿宋" w:cs="仿宋"/>
                <w:spacing w:val="-2"/>
                <w:szCs w:val="21"/>
                <w:lang w:val="zh-CN" w:eastAsia="en-US" w:bidi="zh-CN"/>
              </w:rPr>
              <w:t>实践教学基</w:t>
            </w:r>
            <w:r>
              <w:rPr>
                <w:rFonts w:hint="eastAsia" w:ascii="仿宋" w:hAnsi="仿宋" w:eastAsia="仿宋" w:cs="仿宋"/>
                <w:spacing w:val="-10"/>
                <w:szCs w:val="21"/>
                <w:lang w:val="zh-CN" w:eastAsia="en-US" w:bidi="zh-CN"/>
              </w:rPr>
              <w:t>地</w:t>
            </w:r>
          </w:p>
        </w:tc>
        <w:tc>
          <w:tcPr>
            <w:tcW w:w="6504" w:type="dxa"/>
            <w:vAlign w:val="center"/>
          </w:tcPr>
          <w:p>
            <w:pPr>
              <w:autoSpaceDE w:val="0"/>
              <w:autoSpaceDN w:val="0"/>
              <w:jc w:val="center"/>
              <w:rPr>
                <w:rFonts w:ascii="仿宋" w:hAnsi="仿宋" w:eastAsia="仿宋" w:cs="仿宋"/>
                <w:szCs w:val="21"/>
                <w:lang w:val="zh-CN" w:eastAsia="zh-CN" w:bidi="zh-CN"/>
              </w:rPr>
            </w:pPr>
            <w:r>
              <w:rPr>
                <w:rFonts w:hint="eastAsia" w:ascii="仿宋" w:hAnsi="仿宋" w:eastAsia="仿宋" w:cs="仿宋"/>
                <w:spacing w:val="-9"/>
                <w:szCs w:val="21"/>
                <w:lang w:val="zh-CN" w:eastAsia="zh-CN" w:bidi="zh-CN"/>
              </w:rPr>
              <w:t xml:space="preserve">整合优化 </w:t>
            </w:r>
            <w:r>
              <w:rPr>
                <w:rFonts w:hint="eastAsia" w:ascii="仿宋" w:hAnsi="仿宋" w:eastAsia="仿宋" w:cs="仿宋"/>
                <w:spacing w:val="-8"/>
                <w:szCs w:val="21"/>
                <w:lang w:val="zh-CN" w:eastAsia="zh-CN" w:bidi="zh-CN"/>
              </w:rPr>
              <w:t>6</w:t>
            </w:r>
            <w:r>
              <w:rPr>
                <w:rFonts w:hint="eastAsia" w:ascii="仿宋" w:hAnsi="仿宋" w:eastAsia="仿宋" w:cs="仿宋"/>
                <w:spacing w:val="-11"/>
                <w:szCs w:val="21"/>
                <w:lang w:val="zh-CN" w:eastAsia="zh-CN" w:bidi="zh-CN"/>
              </w:rPr>
              <w:t xml:space="preserve"> 个专业群实训室，建立 </w:t>
            </w:r>
            <w:r>
              <w:rPr>
                <w:rFonts w:hint="eastAsia" w:ascii="仿宋" w:hAnsi="仿宋" w:eastAsia="仿宋" w:cs="仿宋"/>
                <w:spacing w:val="-8"/>
                <w:szCs w:val="21"/>
                <w:lang w:val="zh-CN" w:eastAsia="zh-CN" w:bidi="zh-CN"/>
              </w:rPr>
              <w:t>2</w:t>
            </w:r>
            <w:r>
              <w:rPr>
                <w:rFonts w:hint="eastAsia" w:ascii="仿宋" w:hAnsi="仿宋" w:eastAsia="仿宋" w:cs="仿宋"/>
                <w:spacing w:val="-10"/>
                <w:szCs w:val="21"/>
                <w:lang w:val="zh-CN" w:eastAsia="zh-CN" w:bidi="zh-CN"/>
              </w:rPr>
              <w:t xml:space="preserve"> 个共享实训室和模块</w:t>
            </w:r>
            <w:r>
              <w:rPr>
                <w:rFonts w:hint="eastAsia" w:ascii="仿宋" w:hAnsi="仿宋" w:eastAsia="仿宋" w:cs="仿宋"/>
                <w:spacing w:val="-2"/>
                <w:szCs w:val="21"/>
                <w:lang w:val="zh-CN" w:eastAsia="zh-CN" w:bidi="zh-CN"/>
              </w:rPr>
              <w:t>化实训室平台；新建和完善校内实训室，建设技术创新研</w:t>
            </w:r>
            <w:r>
              <w:rPr>
                <w:rFonts w:hint="eastAsia" w:ascii="仿宋" w:hAnsi="仿宋" w:eastAsia="仿宋" w:cs="仿宋"/>
                <w:spacing w:val="-3"/>
                <w:szCs w:val="21"/>
                <w:lang w:val="zh-CN" w:eastAsia="zh-CN" w:bidi="zh-CN"/>
              </w:rPr>
              <w:t>究中心，提升服务能力；校企共建国家级高水平专业化产</w:t>
            </w:r>
            <w:r>
              <w:rPr>
                <w:rFonts w:hint="eastAsia" w:ascii="仿宋" w:hAnsi="仿宋" w:eastAsia="仿宋" w:cs="仿宋"/>
                <w:spacing w:val="-2"/>
                <w:szCs w:val="21"/>
                <w:lang w:val="zh-CN" w:eastAsia="zh-CN" w:bidi="zh-CN"/>
              </w:rPr>
              <w:t>教融合实训基地。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2" w:hRule="atLeast"/>
          <w:jc w:val="center"/>
        </w:trPr>
        <w:tc>
          <w:tcPr>
            <w:tcW w:w="684" w:type="dxa"/>
            <w:vMerge w:val="continue"/>
            <w:tcBorders>
              <w:top w:val="nil"/>
            </w:tcBorders>
            <w:vAlign w:val="center"/>
          </w:tcPr>
          <w:p>
            <w:pPr>
              <w:autoSpaceDE w:val="0"/>
              <w:autoSpaceDN w:val="0"/>
              <w:jc w:val="center"/>
              <w:rPr>
                <w:rFonts w:ascii="仿宋" w:hAnsi="仿宋" w:eastAsia="仿宋" w:cs="仿宋"/>
                <w:kern w:val="0"/>
                <w:szCs w:val="21"/>
                <w:lang w:eastAsia="zh-CN"/>
              </w:rPr>
            </w:pPr>
          </w:p>
        </w:tc>
        <w:tc>
          <w:tcPr>
            <w:tcW w:w="1128" w:type="dxa"/>
            <w:vAlign w:val="center"/>
          </w:tcPr>
          <w:p>
            <w:pPr>
              <w:autoSpaceDE w:val="0"/>
              <w:autoSpaceDN w:val="0"/>
              <w:jc w:val="center"/>
              <w:rPr>
                <w:rFonts w:ascii="仿宋" w:hAnsi="仿宋" w:eastAsia="仿宋" w:cs="仿宋"/>
                <w:spacing w:val="-2"/>
                <w:szCs w:val="21"/>
                <w:lang w:val="zh-CN" w:eastAsia="en-US" w:bidi="zh-CN"/>
              </w:rPr>
            </w:pPr>
            <w:r>
              <w:rPr>
                <w:rFonts w:hint="eastAsia" w:ascii="仿宋" w:hAnsi="仿宋" w:eastAsia="仿宋" w:cs="仿宋"/>
                <w:spacing w:val="-2"/>
                <w:szCs w:val="21"/>
                <w:lang w:val="zh-CN" w:eastAsia="en-US" w:bidi="zh-CN"/>
              </w:rPr>
              <w:t>技术技能平</w:t>
            </w:r>
            <w:r>
              <w:rPr>
                <w:rFonts w:hint="eastAsia" w:ascii="仿宋" w:hAnsi="仿宋" w:eastAsia="仿宋" w:cs="仿宋"/>
                <w:spacing w:val="-10"/>
                <w:szCs w:val="21"/>
                <w:lang w:val="zh-CN" w:eastAsia="en-US" w:bidi="zh-CN"/>
              </w:rPr>
              <w:t>台</w:t>
            </w:r>
          </w:p>
        </w:tc>
        <w:tc>
          <w:tcPr>
            <w:tcW w:w="6504" w:type="dxa"/>
            <w:vAlign w:val="center"/>
          </w:tcPr>
          <w:p>
            <w:pPr>
              <w:autoSpaceDE w:val="0"/>
              <w:autoSpaceDN w:val="0"/>
              <w:jc w:val="center"/>
              <w:rPr>
                <w:rFonts w:ascii="仿宋" w:hAnsi="仿宋" w:eastAsia="仿宋" w:cs="仿宋"/>
                <w:spacing w:val="-9"/>
                <w:szCs w:val="21"/>
                <w:lang w:val="zh-CN" w:eastAsia="zh-CN" w:bidi="zh-CN"/>
              </w:rPr>
            </w:pPr>
            <w:r>
              <w:rPr>
                <w:rFonts w:hint="eastAsia" w:ascii="仿宋" w:hAnsi="仿宋" w:eastAsia="仿宋" w:cs="仿宋"/>
                <w:spacing w:val="-6"/>
                <w:szCs w:val="21"/>
                <w:lang w:val="zh-CN" w:eastAsia="zh-CN" w:bidi="zh-CN"/>
              </w:rPr>
              <w:t xml:space="preserve">校企建立协同育人中心 </w:t>
            </w:r>
            <w:r>
              <w:rPr>
                <w:rFonts w:hint="eastAsia" w:ascii="仿宋" w:hAnsi="仿宋" w:eastAsia="仿宋" w:cs="仿宋"/>
                <w:spacing w:val="-2"/>
                <w:szCs w:val="21"/>
                <w:lang w:val="zh-CN" w:eastAsia="zh-CN" w:bidi="zh-CN"/>
              </w:rPr>
              <w:t>2</w:t>
            </w:r>
            <w:r>
              <w:rPr>
                <w:rFonts w:hint="eastAsia" w:ascii="仿宋" w:hAnsi="仿宋" w:eastAsia="仿宋" w:cs="仿宋"/>
                <w:spacing w:val="-12"/>
                <w:szCs w:val="21"/>
                <w:lang w:val="zh-CN" w:eastAsia="zh-CN" w:bidi="zh-CN"/>
              </w:rPr>
              <w:t xml:space="preserve"> 个以上；应用协同创新中心 </w:t>
            </w:r>
            <w:r>
              <w:rPr>
                <w:rFonts w:hint="eastAsia" w:ascii="仿宋" w:hAnsi="仿宋" w:eastAsia="仿宋" w:cs="仿宋"/>
                <w:spacing w:val="-2"/>
                <w:szCs w:val="21"/>
                <w:lang w:val="zh-CN" w:eastAsia="zh-CN" w:bidi="zh-CN"/>
              </w:rPr>
              <w:t>2</w:t>
            </w:r>
            <w:r>
              <w:rPr>
                <w:rFonts w:hint="eastAsia" w:ascii="仿宋" w:hAnsi="仿宋" w:eastAsia="仿宋" w:cs="仿宋"/>
                <w:spacing w:val="-26"/>
                <w:szCs w:val="21"/>
                <w:lang w:val="zh-CN" w:eastAsia="zh-CN" w:bidi="zh-CN"/>
              </w:rPr>
              <w:t xml:space="preserve"> 个</w:t>
            </w:r>
            <w:r>
              <w:rPr>
                <w:rFonts w:hint="eastAsia" w:ascii="仿宋" w:hAnsi="仿宋" w:eastAsia="仿宋" w:cs="仿宋"/>
                <w:spacing w:val="-5"/>
                <w:szCs w:val="21"/>
                <w:lang w:val="zh-CN" w:eastAsia="zh-CN" w:bidi="zh-CN"/>
              </w:rPr>
              <w:t xml:space="preserve">以上；技能大师工作室 </w:t>
            </w:r>
            <w:r>
              <w:rPr>
                <w:rFonts w:hint="eastAsia" w:ascii="仿宋" w:hAnsi="仿宋" w:eastAsia="仿宋" w:cs="仿宋"/>
                <w:spacing w:val="-2"/>
                <w:szCs w:val="21"/>
                <w:lang w:val="zh-CN" w:eastAsia="zh-CN" w:bidi="zh-CN"/>
              </w:rPr>
              <w:t>2</w:t>
            </w:r>
            <w:r>
              <w:rPr>
                <w:rFonts w:hint="eastAsia" w:ascii="仿宋" w:hAnsi="仿宋" w:eastAsia="仿宋" w:cs="仿宋"/>
                <w:spacing w:val="-13"/>
                <w:szCs w:val="21"/>
                <w:lang w:val="zh-CN" w:eastAsia="zh-CN" w:bidi="zh-CN"/>
              </w:rPr>
              <w:t xml:space="preserve"> 个以上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2" w:hRule="atLeast"/>
          <w:jc w:val="center"/>
        </w:trPr>
        <w:tc>
          <w:tcPr>
            <w:tcW w:w="684" w:type="dxa"/>
            <w:vMerge w:val="continue"/>
            <w:tcBorders>
              <w:top w:val="nil"/>
            </w:tcBorders>
            <w:vAlign w:val="center"/>
          </w:tcPr>
          <w:p>
            <w:pPr>
              <w:autoSpaceDE w:val="0"/>
              <w:autoSpaceDN w:val="0"/>
              <w:jc w:val="center"/>
              <w:rPr>
                <w:rFonts w:ascii="仿宋" w:hAnsi="仿宋" w:eastAsia="仿宋" w:cs="仿宋"/>
                <w:kern w:val="0"/>
                <w:szCs w:val="21"/>
                <w:lang w:eastAsia="zh-CN"/>
              </w:rPr>
            </w:pPr>
          </w:p>
        </w:tc>
        <w:tc>
          <w:tcPr>
            <w:tcW w:w="1128" w:type="dxa"/>
            <w:vAlign w:val="center"/>
          </w:tcPr>
          <w:p>
            <w:pPr>
              <w:autoSpaceDE w:val="0"/>
              <w:autoSpaceDN w:val="0"/>
              <w:jc w:val="center"/>
              <w:rPr>
                <w:rFonts w:ascii="仿宋" w:hAnsi="仿宋" w:eastAsia="仿宋" w:cs="仿宋"/>
                <w:spacing w:val="-2"/>
                <w:szCs w:val="21"/>
                <w:lang w:val="zh-CN" w:eastAsia="en-US" w:bidi="zh-CN"/>
              </w:rPr>
            </w:pPr>
            <w:r>
              <w:rPr>
                <w:rFonts w:hint="eastAsia" w:ascii="仿宋" w:hAnsi="仿宋" w:eastAsia="仿宋" w:cs="仿宋"/>
                <w:spacing w:val="-3"/>
                <w:szCs w:val="21"/>
                <w:lang w:val="zh-CN" w:eastAsia="en-US" w:bidi="zh-CN"/>
              </w:rPr>
              <w:t>社会服务</w:t>
            </w:r>
          </w:p>
        </w:tc>
        <w:tc>
          <w:tcPr>
            <w:tcW w:w="6504" w:type="dxa"/>
            <w:vAlign w:val="center"/>
          </w:tcPr>
          <w:p>
            <w:pPr>
              <w:autoSpaceDE w:val="0"/>
              <w:autoSpaceDN w:val="0"/>
              <w:jc w:val="center"/>
              <w:rPr>
                <w:rFonts w:ascii="仿宋" w:hAnsi="仿宋" w:eastAsia="仿宋" w:cs="仿宋"/>
                <w:spacing w:val="-9"/>
                <w:szCs w:val="21"/>
                <w:lang w:val="zh-CN" w:eastAsia="zh-CN" w:bidi="zh-CN"/>
              </w:rPr>
            </w:pPr>
            <w:r>
              <w:rPr>
                <w:rFonts w:hint="eastAsia" w:ascii="仿宋" w:hAnsi="仿宋" w:eastAsia="仿宋" w:cs="仿宋"/>
                <w:spacing w:val="-2"/>
                <w:szCs w:val="21"/>
                <w:lang w:val="zh-CN" w:eastAsia="zh-CN" w:bidi="zh-CN"/>
              </w:rPr>
              <w:t>“1+X</w:t>
            </w:r>
            <w:r>
              <w:rPr>
                <w:rFonts w:hint="eastAsia" w:ascii="仿宋" w:hAnsi="仿宋" w:eastAsia="仿宋" w:cs="仿宋"/>
                <w:spacing w:val="-7"/>
                <w:szCs w:val="21"/>
                <w:lang w:val="zh-CN" w:eastAsia="zh-CN" w:bidi="zh-CN"/>
              </w:rPr>
              <w:t xml:space="preserve">”证书试点考点培训 </w:t>
            </w:r>
            <w:r>
              <w:rPr>
                <w:rFonts w:hint="eastAsia" w:ascii="仿宋" w:hAnsi="仿宋" w:eastAsia="仿宋" w:cs="仿宋"/>
                <w:spacing w:val="-2"/>
                <w:szCs w:val="21"/>
                <w:lang w:val="zh-CN" w:eastAsia="zh-CN" w:bidi="zh-CN"/>
              </w:rPr>
              <w:t>2200</w:t>
            </w:r>
            <w:r>
              <w:rPr>
                <w:rFonts w:hint="eastAsia" w:ascii="仿宋" w:hAnsi="仿宋" w:eastAsia="仿宋" w:cs="仿宋"/>
                <w:spacing w:val="-9"/>
                <w:szCs w:val="21"/>
                <w:lang w:val="zh-CN" w:eastAsia="zh-CN" w:bidi="zh-CN"/>
              </w:rPr>
              <w:t xml:space="preserve"> 人次以上；省级以上纵向</w:t>
            </w:r>
            <w:r>
              <w:rPr>
                <w:rFonts w:hint="eastAsia" w:ascii="仿宋" w:hAnsi="仿宋" w:eastAsia="仿宋" w:cs="仿宋"/>
                <w:spacing w:val="-17"/>
                <w:szCs w:val="21"/>
                <w:lang w:val="zh-CN" w:eastAsia="zh-CN" w:bidi="zh-CN"/>
              </w:rPr>
              <w:t xml:space="preserve">课题 </w:t>
            </w:r>
            <w:r>
              <w:rPr>
                <w:rFonts w:hint="eastAsia" w:ascii="仿宋" w:hAnsi="仿宋" w:eastAsia="仿宋" w:cs="仿宋"/>
                <w:spacing w:val="-2"/>
                <w:szCs w:val="21"/>
                <w:lang w:val="zh-CN" w:eastAsia="zh-CN" w:bidi="zh-CN"/>
              </w:rPr>
              <w:t>10</w:t>
            </w:r>
            <w:r>
              <w:rPr>
                <w:rFonts w:hint="eastAsia" w:ascii="仿宋" w:hAnsi="仿宋" w:eastAsia="仿宋" w:cs="仿宋"/>
                <w:spacing w:val="-14"/>
                <w:szCs w:val="21"/>
                <w:lang w:val="zh-CN" w:eastAsia="zh-CN" w:bidi="zh-CN"/>
              </w:rPr>
              <w:t xml:space="preserve"> 项以上，到款额 </w:t>
            </w:r>
            <w:r>
              <w:rPr>
                <w:rFonts w:hint="eastAsia" w:ascii="仿宋" w:hAnsi="仿宋" w:eastAsia="仿宋" w:cs="仿宋"/>
                <w:spacing w:val="-2"/>
                <w:szCs w:val="21"/>
                <w:lang w:val="zh-CN" w:eastAsia="zh-CN" w:bidi="zh-CN"/>
              </w:rPr>
              <w:t>500</w:t>
            </w:r>
            <w:r>
              <w:rPr>
                <w:rFonts w:hint="eastAsia" w:ascii="仿宋" w:hAnsi="仿宋" w:eastAsia="仿宋" w:cs="仿宋"/>
                <w:spacing w:val="-13"/>
                <w:szCs w:val="21"/>
                <w:lang w:val="zh-CN" w:eastAsia="zh-CN" w:bidi="zh-CN"/>
              </w:rPr>
              <w:t xml:space="preserve"> 万以上；各类专利 </w:t>
            </w:r>
            <w:r>
              <w:rPr>
                <w:rFonts w:hint="eastAsia" w:ascii="仿宋" w:hAnsi="仿宋" w:eastAsia="仿宋" w:cs="仿宋"/>
                <w:spacing w:val="-2"/>
                <w:szCs w:val="21"/>
                <w:lang w:val="zh-CN" w:eastAsia="zh-CN" w:bidi="zh-CN"/>
              </w:rPr>
              <w:t>10</w:t>
            </w:r>
            <w:r>
              <w:rPr>
                <w:rFonts w:hint="eastAsia" w:ascii="仿宋" w:hAnsi="仿宋" w:eastAsia="仿宋" w:cs="仿宋"/>
                <w:spacing w:val="-15"/>
                <w:szCs w:val="21"/>
                <w:lang w:val="zh-CN" w:eastAsia="zh-CN" w:bidi="zh-CN"/>
              </w:rPr>
              <w:t xml:space="preserve"> 项以上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2" w:hRule="atLeast"/>
          <w:jc w:val="center"/>
        </w:trPr>
        <w:tc>
          <w:tcPr>
            <w:tcW w:w="684" w:type="dxa"/>
            <w:vMerge w:val="continue"/>
            <w:tcBorders>
              <w:top w:val="nil"/>
            </w:tcBorders>
            <w:vAlign w:val="center"/>
          </w:tcPr>
          <w:p>
            <w:pPr>
              <w:autoSpaceDE w:val="0"/>
              <w:autoSpaceDN w:val="0"/>
              <w:jc w:val="center"/>
              <w:rPr>
                <w:rFonts w:ascii="仿宋" w:hAnsi="仿宋" w:eastAsia="仿宋" w:cs="仿宋"/>
                <w:kern w:val="0"/>
                <w:szCs w:val="21"/>
                <w:lang w:eastAsia="zh-CN"/>
              </w:rPr>
            </w:pPr>
          </w:p>
        </w:tc>
        <w:tc>
          <w:tcPr>
            <w:tcW w:w="1128" w:type="dxa"/>
            <w:vAlign w:val="center"/>
          </w:tcPr>
          <w:p>
            <w:pPr>
              <w:autoSpaceDE w:val="0"/>
              <w:autoSpaceDN w:val="0"/>
              <w:jc w:val="center"/>
              <w:rPr>
                <w:rFonts w:ascii="仿宋" w:hAnsi="仿宋" w:eastAsia="仿宋" w:cs="仿宋"/>
                <w:spacing w:val="-2"/>
                <w:szCs w:val="21"/>
                <w:lang w:val="zh-CN" w:eastAsia="en-US" w:bidi="zh-CN"/>
              </w:rPr>
            </w:pPr>
            <w:r>
              <w:rPr>
                <w:rFonts w:hint="eastAsia" w:ascii="仿宋" w:hAnsi="仿宋" w:eastAsia="仿宋" w:cs="仿宋"/>
                <w:spacing w:val="-2"/>
                <w:szCs w:val="21"/>
                <w:lang w:val="zh-CN" w:eastAsia="en-US" w:bidi="zh-CN"/>
              </w:rPr>
              <w:t>国际交流与</w:t>
            </w:r>
            <w:r>
              <w:rPr>
                <w:rFonts w:hint="eastAsia" w:ascii="仿宋" w:hAnsi="仿宋" w:eastAsia="仿宋" w:cs="仿宋"/>
                <w:spacing w:val="-6"/>
                <w:szCs w:val="21"/>
                <w:lang w:val="zh-CN" w:eastAsia="en-US" w:bidi="zh-CN"/>
              </w:rPr>
              <w:t>合作</w:t>
            </w:r>
          </w:p>
        </w:tc>
        <w:tc>
          <w:tcPr>
            <w:tcW w:w="6504" w:type="dxa"/>
            <w:vAlign w:val="center"/>
          </w:tcPr>
          <w:p>
            <w:pPr>
              <w:autoSpaceDE w:val="0"/>
              <w:autoSpaceDN w:val="0"/>
              <w:jc w:val="center"/>
              <w:rPr>
                <w:rFonts w:ascii="仿宋" w:hAnsi="仿宋" w:eastAsia="仿宋" w:cs="仿宋"/>
                <w:spacing w:val="-9"/>
                <w:szCs w:val="21"/>
                <w:lang w:val="zh-CN" w:eastAsia="zh-CN" w:bidi="zh-CN"/>
              </w:rPr>
            </w:pPr>
            <w:r>
              <w:rPr>
                <w:rFonts w:hint="eastAsia" w:ascii="仿宋" w:hAnsi="仿宋" w:eastAsia="仿宋" w:cs="仿宋"/>
                <w:spacing w:val="-5"/>
                <w:szCs w:val="21"/>
                <w:lang w:val="zh-CN" w:eastAsia="zh-CN" w:bidi="zh-CN"/>
              </w:rPr>
              <w:t xml:space="preserve">进行师生国际交流 </w:t>
            </w:r>
            <w:r>
              <w:rPr>
                <w:rFonts w:hint="eastAsia" w:ascii="仿宋" w:hAnsi="仿宋" w:eastAsia="仿宋" w:cs="仿宋"/>
                <w:szCs w:val="21"/>
                <w:lang w:val="zh-CN" w:eastAsia="zh-CN" w:bidi="zh-CN"/>
              </w:rPr>
              <w:t>3</w:t>
            </w:r>
            <w:r>
              <w:rPr>
                <w:rFonts w:hint="eastAsia" w:ascii="仿宋" w:hAnsi="仿宋" w:eastAsia="仿宋" w:cs="仿宋"/>
                <w:spacing w:val="-14"/>
                <w:szCs w:val="21"/>
                <w:lang w:val="zh-CN" w:eastAsia="zh-CN" w:bidi="zh-CN"/>
              </w:rPr>
              <w:t xml:space="preserve"> 项以上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jc w:val="center"/>
        </w:trPr>
        <w:tc>
          <w:tcPr>
            <w:tcW w:w="684" w:type="dxa"/>
            <w:vMerge w:val="continue"/>
            <w:tcBorders>
              <w:top w:val="nil"/>
              <w:bottom w:val="single" w:color="auto" w:sz="4" w:space="0"/>
            </w:tcBorders>
            <w:vAlign w:val="center"/>
          </w:tcPr>
          <w:p>
            <w:pPr>
              <w:autoSpaceDE w:val="0"/>
              <w:autoSpaceDN w:val="0"/>
              <w:jc w:val="center"/>
              <w:rPr>
                <w:rFonts w:ascii="仿宋" w:hAnsi="仿宋" w:eastAsia="仿宋" w:cs="仿宋"/>
                <w:kern w:val="0"/>
                <w:szCs w:val="21"/>
                <w:lang w:eastAsia="zh-CN"/>
              </w:rPr>
            </w:pPr>
          </w:p>
        </w:tc>
        <w:tc>
          <w:tcPr>
            <w:tcW w:w="1128" w:type="dxa"/>
            <w:vAlign w:val="center"/>
          </w:tcPr>
          <w:p>
            <w:pPr>
              <w:autoSpaceDE w:val="0"/>
              <w:autoSpaceDN w:val="0"/>
              <w:jc w:val="center"/>
              <w:rPr>
                <w:rFonts w:ascii="仿宋" w:hAnsi="仿宋" w:eastAsia="仿宋" w:cs="仿宋"/>
                <w:szCs w:val="21"/>
                <w:lang w:val="zh-CN" w:eastAsia="en-US" w:bidi="zh-CN"/>
              </w:rPr>
            </w:pPr>
            <w:r>
              <w:rPr>
                <w:rFonts w:hint="eastAsia" w:ascii="仿宋" w:hAnsi="仿宋" w:eastAsia="仿宋" w:cs="仿宋"/>
                <w:spacing w:val="-2"/>
                <w:szCs w:val="21"/>
                <w:lang w:val="zh-CN" w:eastAsia="en-US" w:bidi="zh-CN"/>
              </w:rPr>
              <w:t>可持续发展</w:t>
            </w:r>
            <w:r>
              <w:rPr>
                <w:rFonts w:hint="eastAsia" w:ascii="仿宋" w:hAnsi="仿宋" w:eastAsia="仿宋" w:cs="仿宋"/>
                <w:spacing w:val="-3"/>
                <w:szCs w:val="21"/>
                <w:lang w:val="zh-CN" w:eastAsia="en-US" w:bidi="zh-CN"/>
              </w:rPr>
              <w:t>保障机制</w:t>
            </w:r>
          </w:p>
        </w:tc>
        <w:tc>
          <w:tcPr>
            <w:tcW w:w="6504" w:type="dxa"/>
            <w:vAlign w:val="center"/>
          </w:tcPr>
          <w:p>
            <w:pPr>
              <w:autoSpaceDE w:val="0"/>
              <w:autoSpaceDN w:val="0"/>
              <w:jc w:val="center"/>
              <w:rPr>
                <w:rFonts w:ascii="仿宋" w:hAnsi="仿宋" w:eastAsia="仿宋" w:cs="仿宋"/>
                <w:szCs w:val="21"/>
                <w:lang w:val="zh-CN" w:eastAsia="zh-CN" w:bidi="zh-CN"/>
              </w:rPr>
            </w:pPr>
            <w:r>
              <w:rPr>
                <w:rFonts w:hint="eastAsia" w:ascii="仿宋" w:hAnsi="仿宋" w:eastAsia="仿宋" w:cs="仿宋"/>
                <w:spacing w:val="-3"/>
                <w:szCs w:val="21"/>
                <w:lang w:val="zh-CN" w:eastAsia="zh-CN" w:bidi="zh-CN"/>
              </w:rPr>
              <w:t>建立常态化毕业生能力跟踪评价机制，实现专业的自我诊断与更新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jc w:val="center"/>
        </w:trPr>
        <w:tc>
          <w:tcPr>
            <w:tcW w:w="684" w:type="dxa"/>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仿宋" w:hAnsi="仿宋" w:eastAsia="仿宋" w:cs="仿宋"/>
                <w:b/>
                <w:bCs/>
                <w:szCs w:val="21"/>
                <w:lang w:val="zh-CN" w:eastAsia="en-US" w:bidi="zh-CN"/>
              </w:rPr>
            </w:pPr>
            <w:r>
              <w:rPr>
                <w:rFonts w:hint="eastAsia" w:ascii="仿宋" w:hAnsi="仿宋" w:eastAsia="仿宋" w:cs="仿宋"/>
                <w:b/>
                <w:bCs/>
                <w:spacing w:val="-5"/>
                <w:szCs w:val="21"/>
                <w:lang w:val="zh-CN" w:eastAsia="en-US" w:bidi="zh-CN"/>
              </w:rPr>
              <w:t>校级</w:t>
            </w:r>
          </w:p>
          <w:p>
            <w:pPr>
              <w:autoSpaceDE w:val="0"/>
              <w:autoSpaceDN w:val="0"/>
              <w:jc w:val="center"/>
              <w:rPr>
                <w:rFonts w:ascii="仿宋" w:hAnsi="仿宋" w:eastAsia="仿宋" w:cs="仿宋"/>
                <w:szCs w:val="21"/>
                <w:lang w:val="zh-CN" w:eastAsia="en-US" w:bidi="zh-CN"/>
              </w:rPr>
            </w:pPr>
            <w:r>
              <w:rPr>
                <w:rFonts w:hint="eastAsia" w:ascii="仿宋" w:hAnsi="仿宋" w:eastAsia="仿宋" w:cs="仿宋"/>
                <w:b/>
                <w:bCs/>
                <w:szCs w:val="21"/>
                <w:lang w:val="zh-CN" w:eastAsia="en-US" w:bidi="zh-CN"/>
              </w:rPr>
              <w:t>（3个</w:t>
            </w:r>
            <w:r>
              <w:rPr>
                <w:rFonts w:hint="eastAsia" w:ascii="仿宋" w:hAnsi="仿宋" w:eastAsia="仿宋" w:cs="仿宋"/>
                <w:b/>
                <w:bCs/>
                <w:spacing w:val="-10"/>
                <w:szCs w:val="21"/>
                <w:lang w:val="zh-CN" w:eastAsia="en-US" w:bidi="zh-CN"/>
              </w:rPr>
              <w:t>）</w:t>
            </w:r>
          </w:p>
        </w:tc>
        <w:tc>
          <w:tcPr>
            <w:tcW w:w="1128" w:type="dxa"/>
            <w:tcBorders>
              <w:left w:val="single" w:color="auto" w:sz="4" w:space="0"/>
            </w:tcBorders>
            <w:vAlign w:val="center"/>
          </w:tcPr>
          <w:p>
            <w:pPr>
              <w:autoSpaceDE w:val="0"/>
              <w:autoSpaceDN w:val="0"/>
              <w:jc w:val="center"/>
              <w:rPr>
                <w:rFonts w:ascii="仿宋" w:hAnsi="仿宋" w:eastAsia="仿宋" w:cs="仿宋"/>
                <w:spacing w:val="-2"/>
                <w:szCs w:val="21"/>
                <w:lang w:val="zh-CN" w:eastAsia="en-US" w:bidi="zh-CN"/>
              </w:rPr>
            </w:pPr>
            <w:r>
              <w:rPr>
                <w:rFonts w:hint="eastAsia" w:ascii="仿宋" w:hAnsi="仿宋" w:eastAsia="仿宋" w:cs="仿宋"/>
                <w:spacing w:val="-2"/>
                <w:szCs w:val="21"/>
                <w:lang w:val="zh-CN" w:eastAsia="en-US" w:bidi="zh-CN"/>
              </w:rPr>
              <w:t>人才培养模</w:t>
            </w:r>
            <w:r>
              <w:rPr>
                <w:rFonts w:hint="eastAsia" w:ascii="仿宋" w:hAnsi="仿宋" w:eastAsia="仿宋" w:cs="仿宋"/>
                <w:spacing w:val="-4"/>
                <w:szCs w:val="21"/>
                <w:lang w:val="zh-CN" w:eastAsia="en-US" w:bidi="zh-CN"/>
              </w:rPr>
              <w:t>式创新</w:t>
            </w:r>
          </w:p>
        </w:tc>
        <w:tc>
          <w:tcPr>
            <w:tcW w:w="6504" w:type="dxa"/>
            <w:vAlign w:val="center"/>
          </w:tcPr>
          <w:p>
            <w:pPr>
              <w:autoSpaceDE w:val="0"/>
              <w:autoSpaceDN w:val="0"/>
              <w:jc w:val="center"/>
              <w:rPr>
                <w:rFonts w:ascii="仿宋" w:hAnsi="仿宋" w:eastAsia="仿宋" w:cs="仿宋"/>
                <w:spacing w:val="-6"/>
                <w:szCs w:val="21"/>
                <w:lang w:val="zh-CN" w:eastAsia="zh-CN" w:bidi="zh-CN"/>
              </w:rPr>
            </w:pPr>
            <w:r>
              <w:rPr>
                <w:rFonts w:hint="eastAsia" w:ascii="仿宋" w:hAnsi="仿宋" w:eastAsia="仿宋" w:cs="仿宋"/>
                <w:spacing w:val="3"/>
                <w:szCs w:val="21"/>
                <w:lang w:val="zh-CN" w:eastAsia="zh-CN" w:bidi="zh-CN"/>
              </w:rPr>
              <w:t>结合职教特点创新形成人才培养模式；创新人才培养方</w:t>
            </w:r>
            <w:r>
              <w:rPr>
                <w:rFonts w:hint="eastAsia" w:ascii="仿宋" w:hAnsi="仿宋" w:eastAsia="仿宋" w:cs="仿宋"/>
                <w:spacing w:val="-3"/>
                <w:szCs w:val="21"/>
                <w:lang w:val="zh-CN" w:eastAsia="zh-CN" w:bidi="zh-CN"/>
              </w:rPr>
              <w:t>案；构建融合劳动育人</w:t>
            </w:r>
            <w:r>
              <w:rPr>
                <w:rFonts w:hint="eastAsia" w:ascii="仿宋" w:hAnsi="仿宋" w:eastAsia="仿宋" w:cs="仿宋"/>
                <w:spacing w:val="-52"/>
                <w:szCs w:val="21"/>
                <w:lang w:val="zh-CN" w:eastAsia="zh-CN" w:bidi="zh-CN"/>
              </w:rPr>
              <w:t>、“</w:t>
            </w:r>
            <w:r>
              <w:rPr>
                <w:rFonts w:hint="eastAsia" w:ascii="仿宋" w:hAnsi="仿宋" w:eastAsia="仿宋" w:cs="仿宋"/>
                <w:spacing w:val="1"/>
                <w:szCs w:val="21"/>
                <w:lang w:val="zh-CN" w:eastAsia="zh-CN" w:bidi="zh-CN"/>
              </w:rPr>
              <w:t>1+</w:t>
            </w:r>
            <w:r>
              <w:rPr>
                <w:rFonts w:hint="eastAsia" w:ascii="仿宋" w:hAnsi="仿宋" w:eastAsia="仿宋" w:cs="仿宋"/>
                <w:spacing w:val="-2"/>
                <w:szCs w:val="21"/>
                <w:lang w:val="zh-CN" w:eastAsia="zh-CN" w:bidi="zh-CN"/>
              </w:rPr>
              <w:t>X</w:t>
            </w:r>
            <w:r>
              <w:rPr>
                <w:rFonts w:hint="eastAsia" w:ascii="仿宋" w:hAnsi="仿宋" w:eastAsia="仿宋" w:cs="仿宋"/>
                <w:spacing w:val="-4"/>
                <w:szCs w:val="21"/>
                <w:lang w:val="zh-CN" w:eastAsia="zh-CN" w:bidi="zh-CN"/>
              </w:rPr>
              <w:t>”证书制度的专业群课程体</w:t>
            </w:r>
            <w:r>
              <w:rPr>
                <w:rFonts w:hint="eastAsia" w:ascii="仿宋" w:hAnsi="仿宋" w:eastAsia="仿宋" w:cs="仿宋"/>
                <w:spacing w:val="-8"/>
                <w:szCs w:val="21"/>
                <w:lang w:val="zh-CN" w:eastAsia="zh-CN" w:bidi="zh-CN"/>
              </w:rPr>
              <w:t>系；构建“全员参与”的创新创业教育体系。根据企业需</w:t>
            </w:r>
            <w:r>
              <w:rPr>
                <w:rFonts w:hint="eastAsia" w:ascii="仿宋" w:hAnsi="仿宋" w:eastAsia="仿宋" w:cs="仿宋"/>
                <w:spacing w:val="-4"/>
                <w:szCs w:val="21"/>
                <w:lang w:val="zh-CN" w:eastAsia="zh-CN" w:bidi="zh-CN"/>
              </w:rPr>
              <w:t xml:space="preserve">求建立现代学徒制、订单班 </w:t>
            </w:r>
            <w:r>
              <w:rPr>
                <w:rFonts w:hint="eastAsia" w:ascii="仿宋" w:hAnsi="仿宋" w:eastAsia="仿宋" w:cs="仿宋"/>
                <w:szCs w:val="21"/>
                <w:lang w:val="zh-CN" w:eastAsia="zh-CN" w:bidi="zh-CN"/>
              </w:rPr>
              <w:t>2</w:t>
            </w:r>
            <w:r>
              <w:rPr>
                <w:rFonts w:hint="eastAsia" w:ascii="仿宋" w:hAnsi="仿宋" w:eastAsia="仿宋" w:cs="仿宋"/>
                <w:spacing w:val="-10"/>
                <w:szCs w:val="21"/>
                <w:lang w:val="zh-CN" w:eastAsia="zh-CN" w:bidi="zh-CN"/>
              </w:rPr>
              <w:t xml:space="preserve"> 个以上项目。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jc w:val="center"/>
        </w:trPr>
        <w:tc>
          <w:tcPr>
            <w:tcW w:w="684" w:type="dxa"/>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仿宋" w:hAnsi="仿宋" w:eastAsia="仿宋" w:cs="仿宋"/>
                <w:kern w:val="0"/>
                <w:szCs w:val="21"/>
                <w:lang w:eastAsia="zh-CN"/>
              </w:rPr>
            </w:pPr>
          </w:p>
        </w:tc>
        <w:tc>
          <w:tcPr>
            <w:tcW w:w="1128" w:type="dxa"/>
            <w:tcBorders>
              <w:left w:val="single" w:color="auto" w:sz="4" w:space="0"/>
            </w:tcBorders>
            <w:vAlign w:val="center"/>
          </w:tcPr>
          <w:p>
            <w:pPr>
              <w:autoSpaceDE w:val="0"/>
              <w:autoSpaceDN w:val="0"/>
              <w:jc w:val="center"/>
              <w:rPr>
                <w:rFonts w:ascii="仿宋" w:hAnsi="仿宋" w:eastAsia="仿宋" w:cs="仿宋"/>
                <w:spacing w:val="-2"/>
                <w:szCs w:val="21"/>
                <w:lang w:val="zh-CN" w:eastAsia="en-US" w:bidi="zh-CN"/>
              </w:rPr>
            </w:pPr>
            <w:r>
              <w:rPr>
                <w:rFonts w:hint="eastAsia" w:ascii="仿宋" w:hAnsi="仿宋" w:eastAsia="仿宋" w:cs="仿宋"/>
                <w:spacing w:val="-2"/>
                <w:szCs w:val="21"/>
                <w:lang w:val="zh-CN" w:eastAsia="en-US" w:bidi="zh-CN"/>
              </w:rPr>
              <w:t>课程教学资</w:t>
            </w:r>
            <w:r>
              <w:rPr>
                <w:rFonts w:hint="eastAsia" w:ascii="仿宋" w:hAnsi="仿宋" w:eastAsia="仿宋" w:cs="仿宋"/>
                <w:spacing w:val="-4"/>
                <w:szCs w:val="21"/>
                <w:lang w:val="zh-CN" w:eastAsia="en-US" w:bidi="zh-CN"/>
              </w:rPr>
              <w:t>源建设</w:t>
            </w:r>
          </w:p>
        </w:tc>
        <w:tc>
          <w:tcPr>
            <w:tcW w:w="6504" w:type="dxa"/>
            <w:vAlign w:val="center"/>
          </w:tcPr>
          <w:p>
            <w:pPr>
              <w:autoSpaceDE w:val="0"/>
              <w:autoSpaceDN w:val="0"/>
              <w:jc w:val="center"/>
              <w:rPr>
                <w:rFonts w:ascii="仿宋" w:hAnsi="仿宋" w:eastAsia="仿宋" w:cs="仿宋"/>
                <w:spacing w:val="-6"/>
                <w:szCs w:val="21"/>
                <w:lang w:val="zh-CN" w:eastAsia="zh-CN" w:bidi="zh-CN"/>
              </w:rPr>
            </w:pPr>
            <w:r>
              <w:rPr>
                <w:rFonts w:hint="eastAsia" w:ascii="仿宋" w:hAnsi="仿宋" w:eastAsia="仿宋" w:cs="仿宋"/>
                <w:spacing w:val="-2"/>
                <w:szCs w:val="21"/>
                <w:lang w:val="zh-CN" w:eastAsia="zh-CN" w:bidi="zh-CN"/>
              </w:rPr>
              <w:t>专业课分级推进“课程思政”建设，融入工匠精神，将社</w:t>
            </w:r>
            <w:r>
              <w:rPr>
                <w:rFonts w:hint="eastAsia" w:ascii="仿宋" w:hAnsi="仿宋" w:eastAsia="仿宋" w:cs="仿宋"/>
                <w:spacing w:val="-3"/>
                <w:szCs w:val="21"/>
                <w:lang w:val="zh-CN" w:eastAsia="zh-CN" w:bidi="zh-CN"/>
              </w:rPr>
              <w:t>会主义核心价值观贯穿于人才培养全过程；建设校级教学</w:t>
            </w:r>
            <w:r>
              <w:rPr>
                <w:rFonts w:hint="eastAsia" w:ascii="仿宋" w:hAnsi="仿宋" w:eastAsia="仿宋" w:cs="仿宋"/>
                <w:spacing w:val="-12"/>
                <w:szCs w:val="21"/>
                <w:lang w:val="zh-CN" w:eastAsia="zh-CN" w:bidi="zh-CN"/>
              </w:rPr>
              <w:t xml:space="preserve">资源库 </w:t>
            </w:r>
            <w:r>
              <w:rPr>
                <w:rFonts w:hint="eastAsia" w:ascii="仿宋" w:hAnsi="仿宋" w:eastAsia="仿宋" w:cs="仿宋"/>
                <w:szCs w:val="21"/>
                <w:lang w:val="zh-CN" w:eastAsia="zh-CN" w:bidi="zh-CN"/>
              </w:rPr>
              <w:t>1</w:t>
            </w:r>
            <w:r>
              <w:rPr>
                <w:rFonts w:hint="eastAsia" w:ascii="仿宋" w:hAnsi="仿宋" w:eastAsia="仿宋" w:cs="仿宋"/>
                <w:spacing w:val="-12"/>
                <w:szCs w:val="21"/>
                <w:lang w:val="zh-CN" w:eastAsia="zh-CN" w:bidi="zh-CN"/>
              </w:rPr>
              <w:t xml:space="preserve"> 个以上。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jc w:val="center"/>
        </w:trPr>
        <w:tc>
          <w:tcPr>
            <w:tcW w:w="684" w:type="dxa"/>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仿宋" w:hAnsi="仿宋" w:eastAsia="仿宋" w:cs="仿宋"/>
                <w:kern w:val="0"/>
                <w:szCs w:val="21"/>
                <w:lang w:eastAsia="zh-CN"/>
              </w:rPr>
            </w:pPr>
          </w:p>
        </w:tc>
        <w:tc>
          <w:tcPr>
            <w:tcW w:w="1128" w:type="dxa"/>
            <w:tcBorders>
              <w:left w:val="single" w:color="auto" w:sz="4" w:space="0"/>
            </w:tcBorders>
            <w:vAlign w:val="center"/>
          </w:tcPr>
          <w:p>
            <w:pPr>
              <w:autoSpaceDE w:val="0"/>
              <w:autoSpaceDN w:val="0"/>
              <w:jc w:val="center"/>
              <w:rPr>
                <w:rFonts w:ascii="仿宋" w:hAnsi="仿宋" w:eastAsia="仿宋" w:cs="仿宋"/>
                <w:spacing w:val="-2"/>
                <w:szCs w:val="21"/>
                <w:lang w:val="zh-CN" w:eastAsia="en-US" w:bidi="zh-CN"/>
              </w:rPr>
            </w:pPr>
            <w:r>
              <w:rPr>
                <w:rFonts w:hint="eastAsia" w:ascii="仿宋" w:hAnsi="仿宋" w:eastAsia="仿宋" w:cs="仿宋"/>
                <w:spacing w:val="-2"/>
                <w:szCs w:val="21"/>
                <w:lang w:val="zh-CN" w:eastAsia="en-US" w:bidi="zh-CN"/>
              </w:rPr>
              <w:t>教材与教法</w:t>
            </w:r>
            <w:r>
              <w:rPr>
                <w:rFonts w:hint="eastAsia" w:ascii="仿宋" w:hAnsi="仿宋" w:eastAsia="仿宋" w:cs="仿宋"/>
                <w:spacing w:val="-6"/>
                <w:szCs w:val="21"/>
                <w:lang w:val="zh-CN" w:eastAsia="en-US" w:bidi="zh-CN"/>
              </w:rPr>
              <w:t>改革</w:t>
            </w:r>
          </w:p>
        </w:tc>
        <w:tc>
          <w:tcPr>
            <w:tcW w:w="6504" w:type="dxa"/>
            <w:vAlign w:val="center"/>
          </w:tcPr>
          <w:p>
            <w:pPr>
              <w:autoSpaceDE w:val="0"/>
              <w:autoSpaceDN w:val="0"/>
              <w:jc w:val="center"/>
              <w:rPr>
                <w:rFonts w:ascii="仿宋" w:hAnsi="仿宋" w:eastAsia="仿宋" w:cs="仿宋"/>
                <w:spacing w:val="-2"/>
                <w:szCs w:val="21"/>
                <w:lang w:val="zh-CN" w:eastAsia="zh-CN" w:bidi="zh-CN"/>
              </w:rPr>
            </w:pPr>
            <w:r>
              <w:rPr>
                <w:rFonts w:hint="eastAsia" w:ascii="仿宋" w:hAnsi="仿宋" w:eastAsia="仿宋" w:cs="仿宋"/>
                <w:spacing w:val="3"/>
                <w:szCs w:val="21"/>
                <w:lang w:val="zh-CN" w:eastAsia="zh-CN" w:bidi="zh-CN"/>
              </w:rPr>
              <w:t>与企业合作开发基于云平台的立体教材，充分利用大数</w:t>
            </w:r>
            <w:r>
              <w:rPr>
                <w:rFonts w:hint="eastAsia" w:ascii="仿宋" w:hAnsi="仿宋" w:eastAsia="仿宋" w:cs="仿宋"/>
                <w:spacing w:val="-13"/>
                <w:szCs w:val="21"/>
                <w:lang w:val="zh-CN" w:eastAsia="zh-CN" w:bidi="zh-CN"/>
              </w:rPr>
              <w:t>据、人工智能、移动互联网和云计算等各自的特点和优势，</w:t>
            </w:r>
            <w:r>
              <w:rPr>
                <w:rFonts w:hint="eastAsia" w:ascii="仿宋" w:hAnsi="仿宋" w:eastAsia="仿宋" w:cs="仿宋"/>
                <w:spacing w:val="-4"/>
                <w:szCs w:val="21"/>
                <w:lang w:val="zh-CN" w:eastAsia="zh-CN" w:bidi="zh-CN"/>
              </w:rPr>
              <w:t>将活页式纸质教材、数字化资源有效整合，实施“互联网</w:t>
            </w:r>
            <w:r>
              <w:rPr>
                <w:rFonts w:hint="eastAsia" w:ascii="仿宋" w:hAnsi="仿宋" w:eastAsia="仿宋" w:cs="仿宋"/>
                <w:spacing w:val="-17"/>
                <w:szCs w:val="21"/>
                <w:lang w:val="zh-CN" w:eastAsia="zh-CN" w:bidi="zh-CN"/>
              </w:rPr>
              <w:t>+教育”，为线上线下混合教学提供保障，促进学习者自主、</w:t>
            </w:r>
            <w:r>
              <w:rPr>
                <w:rFonts w:hint="eastAsia" w:ascii="仿宋" w:hAnsi="仿宋" w:eastAsia="仿宋" w:cs="仿宋"/>
                <w:spacing w:val="-2"/>
                <w:szCs w:val="21"/>
                <w:lang w:val="zh-CN" w:eastAsia="zh-CN" w:bidi="zh-CN"/>
              </w:rPr>
              <w:t>泛在、个性化学习。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jc w:val="center"/>
        </w:trPr>
        <w:tc>
          <w:tcPr>
            <w:tcW w:w="684" w:type="dxa"/>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仿宋" w:hAnsi="仿宋" w:eastAsia="仿宋" w:cs="仿宋"/>
                <w:kern w:val="0"/>
                <w:szCs w:val="21"/>
                <w:lang w:eastAsia="zh-CN"/>
              </w:rPr>
            </w:pPr>
          </w:p>
        </w:tc>
        <w:tc>
          <w:tcPr>
            <w:tcW w:w="1128" w:type="dxa"/>
            <w:tcBorders>
              <w:left w:val="single" w:color="auto" w:sz="4" w:space="0"/>
            </w:tcBorders>
            <w:vAlign w:val="center"/>
          </w:tcPr>
          <w:p>
            <w:pPr>
              <w:autoSpaceDE w:val="0"/>
              <w:autoSpaceDN w:val="0"/>
              <w:jc w:val="center"/>
              <w:rPr>
                <w:rFonts w:ascii="仿宋" w:hAnsi="仿宋" w:eastAsia="仿宋" w:cs="仿宋"/>
                <w:b/>
                <w:szCs w:val="21"/>
                <w:lang w:val="zh-CN" w:eastAsia="en-US" w:bidi="zh-CN"/>
              </w:rPr>
            </w:pPr>
            <w:r>
              <w:rPr>
                <w:rFonts w:hint="eastAsia" w:ascii="仿宋" w:hAnsi="仿宋" w:eastAsia="仿宋" w:cs="仿宋"/>
                <w:spacing w:val="-2"/>
                <w:szCs w:val="21"/>
                <w:lang w:val="zh-CN" w:eastAsia="en-US" w:bidi="zh-CN"/>
              </w:rPr>
              <w:t>教师教学创</w:t>
            </w:r>
            <w:r>
              <w:rPr>
                <w:rFonts w:hint="eastAsia" w:ascii="仿宋" w:hAnsi="仿宋" w:eastAsia="仿宋" w:cs="仿宋"/>
                <w:spacing w:val="-4"/>
                <w:szCs w:val="21"/>
                <w:lang w:val="zh-CN" w:eastAsia="en-US" w:bidi="zh-CN"/>
              </w:rPr>
              <w:t>新团队</w:t>
            </w:r>
          </w:p>
        </w:tc>
        <w:tc>
          <w:tcPr>
            <w:tcW w:w="6504" w:type="dxa"/>
            <w:vAlign w:val="center"/>
          </w:tcPr>
          <w:p>
            <w:pPr>
              <w:autoSpaceDE w:val="0"/>
              <w:autoSpaceDN w:val="0"/>
              <w:jc w:val="center"/>
              <w:rPr>
                <w:rFonts w:ascii="仿宋" w:hAnsi="仿宋" w:eastAsia="仿宋" w:cs="仿宋"/>
                <w:spacing w:val="3"/>
                <w:szCs w:val="21"/>
                <w:lang w:val="zh-CN" w:eastAsia="zh-CN" w:bidi="zh-CN"/>
              </w:rPr>
            </w:pPr>
            <w:r>
              <w:rPr>
                <w:rFonts w:hint="eastAsia" w:ascii="仿宋" w:hAnsi="仿宋" w:eastAsia="仿宋" w:cs="仿宋"/>
                <w:spacing w:val="-1"/>
                <w:szCs w:val="21"/>
                <w:lang w:val="zh-CN" w:eastAsia="zh-CN" w:bidi="zh-CN"/>
              </w:rPr>
              <w:t xml:space="preserve">聘请行业大师名匠 </w:t>
            </w:r>
            <w:r>
              <w:rPr>
                <w:rFonts w:hint="eastAsia" w:ascii="仿宋" w:hAnsi="仿宋" w:eastAsia="仿宋" w:cs="仿宋"/>
                <w:szCs w:val="21"/>
                <w:lang w:val="zh-CN" w:eastAsia="zh-CN" w:bidi="zh-CN"/>
              </w:rPr>
              <w:t>2</w:t>
            </w:r>
            <w:r>
              <w:rPr>
                <w:rFonts w:hint="eastAsia" w:ascii="仿宋" w:hAnsi="仿宋" w:eastAsia="仿宋" w:cs="仿宋"/>
                <w:spacing w:val="-12"/>
                <w:szCs w:val="21"/>
                <w:lang w:val="zh-CN" w:eastAsia="zh-CN" w:bidi="zh-CN"/>
              </w:rPr>
              <w:t xml:space="preserve"> 人作为导师；建成校级教学创新团队</w:t>
            </w:r>
            <w:r>
              <w:rPr>
                <w:rFonts w:hint="eastAsia" w:ascii="仿宋" w:hAnsi="仿宋" w:eastAsia="仿宋" w:cs="仿宋"/>
                <w:spacing w:val="-2"/>
                <w:szCs w:val="21"/>
                <w:lang w:val="zh-CN" w:eastAsia="zh-CN" w:bidi="zh-CN"/>
              </w:rPr>
              <w:t>1</w:t>
            </w:r>
            <w:r>
              <w:rPr>
                <w:rFonts w:hint="eastAsia" w:ascii="仿宋" w:hAnsi="仿宋" w:eastAsia="仿宋" w:cs="仿宋"/>
                <w:spacing w:val="-10"/>
                <w:szCs w:val="21"/>
                <w:lang w:val="zh-CN" w:eastAsia="zh-CN" w:bidi="zh-CN"/>
              </w:rPr>
              <w:t xml:space="preserve"> 个；获教师教学能力大赛省级奖项 </w:t>
            </w:r>
            <w:r>
              <w:rPr>
                <w:rFonts w:hint="eastAsia" w:ascii="仿宋" w:hAnsi="仿宋" w:eastAsia="仿宋" w:cs="仿宋"/>
                <w:spacing w:val="-2"/>
                <w:szCs w:val="21"/>
                <w:lang w:val="zh-CN" w:eastAsia="zh-CN" w:bidi="zh-CN"/>
              </w:rPr>
              <w:t>2～3</w:t>
            </w:r>
            <w:r>
              <w:rPr>
                <w:rFonts w:hint="eastAsia" w:ascii="仿宋" w:hAnsi="仿宋" w:eastAsia="仿宋" w:cs="仿宋"/>
                <w:spacing w:val="-15"/>
                <w:szCs w:val="21"/>
                <w:lang w:val="zh-CN" w:eastAsia="zh-CN" w:bidi="zh-CN"/>
              </w:rPr>
              <w:t xml:space="preserve"> 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jc w:val="center"/>
        </w:trPr>
        <w:tc>
          <w:tcPr>
            <w:tcW w:w="684" w:type="dxa"/>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仿宋" w:hAnsi="仿宋" w:eastAsia="仿宋" w:cs="仿宋"/>
                <w:kern w:val="0"/>
                <w:szCs w:val="21"/>
                <w:lang w:eastAsia="zh-CN"/>
              </w:rPr>
            </w:pPr>
          </w:p>
        </w:tc>
        <w:tc>
          <w:tcPr>
            <w:tcW w:w="1128" w:type="dxa"/>
            <w:tcBorders>
              <w:left w:val="single" w:color="auto" w:sz="4" w:space="0"/>
            </w:tcBorders>
            <w:vAlign w:val="center"/>
          </w:tcPr>
          <w:p>
            <w:pPr>
              <w:autoSpaceDE w:val="0"/>
              <w:autoSpaceDN w:val="0"/>
              <w:jc w:val="center"/>
              <w:rPr>
                <w:rFonts w:ascii="仿宋" w:hAnsi="仿宋" w:eastAsia="仿宋" w:cs="仿宋"/>
                <w:spacing w:val="-2"/>
                <w:szCs w:val="21"/>
                <w:lang w:val="zh-CN" w:eastAsia="en-US" w:bidi="zh-CN"/>
              </w:rPr>
            </w:pPr>
            <w:r>
              <w:rPr>
                <w:rFonts w:hint="eastAsia" w:ascii="仿宋" w:hAnsi="仿宋" w:eastAsia="仿宋" w:cs="仿宋"/>
                <w:spacing w:val="-2"/>
                <w:szCs w:val="21"/>
                <w:lang w:val="zh-CN" w:eastAsia="en-US" w:bidi="zh-CN"/>
              </w:rPr>
              <w:t>实践教学基</w:t>
            </w:r>
            <w:r>
              <w:rPr>
                <w:rFonts w:hint="eastAsia" w:ascii="仿宋" w:hAnsi="仿宋" w:eastAsia="仿宋" w:cs="仿宋"/>
                <w:spacing w:val="-10"/>
                <w:szCs w:val="21"/>
                <w:lang w:val="zh-CN" w:eastAsia="en-US" w:bidi="zh-CN"/>
              </w:rPr>
              <w:t>地</w:t>
            </w:r>
          </w:p>
        </w:tc>
        <w:tc>
          <w:tcPr>
            <w:tcW w:w="6504" w:type="dxa"/>
            <w:vAlign w:val="center"/>
          </w:tcPr>
          <w:p>
            <w:pPr>
              <w:autoSpaceDE w:val="0"/>
              <w:autoSpaceDN w:val="0"/>
              <w:jc w:val="center"/>
              <w:rPr>
                <w:rFonts w:ascii="仿宋" w:hAnsi="仿宋" w:eastAsia="仿宋" w:cs="仿宋"/>
                <w:spacing w:val="-1"/>
                <w:szCs w:val="21"/>
                <w:lang w:val="zh-CN" w:eastAsia="zh-CN" w:bidi="zh-CN"/>
              </w:rPr>
            </w:pPr>
            <w:r>
              <w:rPr>
                <w:rFonts w:hint="eastAsia" w:ascii="仿宋" w:hAnsi="仿宋" w:eastAsia="仿宋" w:cs="仿宋"/>
                <w:spacing w:val="-9"/>
                <w:szCs w:val="21"/>
                <w:lang w:val="zh-CN" w:eastAsia="zh-CN" w:bidi="zh-CN"/>
              </w:rPr>
              <w:t xml:space="preserve">整合优化 </w:t>
            </w:r>
            <w:r>
              <w:rPr>
                <w:rFonts w:hint="eastAsia" w:ascii="仿宋" w:hAnsi="仿宋" w:eastAsia="仿宋" w:cs="仿宋"/>
                <w:spacing w:val="-6"/>
                <w:szCs w:val="21"/>
                <w:lang w:val="zh-CN" w:eastAsia="zh-CN" w:bidi="zh-CN"/>
              </w:rPr>
              <w:t>3-5</w:t>
            </w:r>
            <w:r>
              <w:rPr>
                <w:rFonts w:hint="eastAsia" w:ascii="仿宋" w:hAnsi="仿宋" w:eastAsia="仿宋" w:cs="仿宋"/>
                <w:spacing w:val="-10"/>
                <w:szCs w:val="21"/>
                <w:lang w:val="zh-CN" w:eastAsia="zh-CN" w:bidi="zh-CN"/>
              </w:rPr>
              <w:t xml:space="preserve"> 个专业群实训室，建立 </w:t>
            </w:r>
            <w:r>
              <w:rPr>
                <w:rFonts w:hint="eastAsia" w:ascii="仿宋" w:hAnsi="仿宋" w:eastAsia="仿宋" w:cs="仿宋"/>
                <w:spacing w:val="-6"/>
                <w:szCs w:val="21"/>
                <w:lang w:val="zh-CN" w:eastAsia="zh-CN" w:bidi="zh-CN"/>
              </w:rPr>
              <w:t>1</w:t>
            </w:r>
            <w:r>
              <w:rPr>
                <w:rFonts w:hint="eastAsia" w:ascii="仿宋" w:hAnsi="仿宋" w:eastAsia="仿宋" w:cs="仿宋"/>
                <w:spacing w:val="-9"/>
                <w:szCs w:val="21"/>
                <w:lang w:val="zh-CN" w:eastAsia="zh-CN" w:bidi="zh-CN"/>
              </w:rPr>
              <w:t xml:space="preserve"> 个共享实训室和模</w:t>
            </w:r>
            <w:r>
              <w:rPr>
                <w:rFonts w:hint="eastAsia" w:ascii="仿宋" w:hAnsi="仿宋" w:eastAsia="仿宋" w:cs="仿宋"/>
                <w:spacing w:val="-2"/>
                <w:szCs w:val="21"/>
                <w:lang w:val="zh-CN" w:eastAsia="zh-CN" w:bidi="zh-CN"/>
              </w:rPr>
              <w:t>块化实训室平台；新建和完善校内实训室，建设技术创新</w:t>
            </w:r>
            <w:r>
              <w:rPr>
                <w:rFonts w:hint="eastAsia" w:ascii="仿宋" w:hAnsi="仿宋" w:eastAsia="仿宋" w:cs="仿宋"/>
                <w:spacing w:val="-3"/>
                <w:szCs w:val="21"/>
                <w:lang w:val="zh-CN" w:eastAsia="zh-CN" w:bidi="zh-CN"/>
              </w:rPr>
              <w:t>研究中心，提升服务能力；校企共建国家级高水平专业化</w:t>
            </w:r>
            <w:r>
              <w:rPr>
                <w:rFonts w:hint="eastAsia" w:ascii="仿宋" w:hAnsi="仿宋" w:eastAsia="仿宋" w:cs="仿宋"/>
                <w:spacing w:val="-2"/>
                <w:szCs w:val="21"/>
                <w:lang w:val="zh-CN" w:eastAsia="zh-CN" w:bidi="zh-CN"/>
              </w:rPr>
              <w:t>产教融合实训基地。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jc w:val="center"/>
        </w:trPr>
        <w:tc>
          <w:tcPr>
            <w:tcW w:w="684" w:type="dxa"/>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仿宋" w:hAnsi="仿宋" w:eastAsia="仿宋" w:cs="仿宋"/>
                <w:kern w:val="0"/>
                <w:szCs w:val="21"/>
                <w:lang w:eastAsia="zh-CN"/>
              </w:rPr>
            </w:pPr>
          </w:p>
        </w:tc>
        <w:tc>
          <w:tcPr>
            <w:tcW w:w="1128" w:type="dxa"/>
            <w:tcBorders>
              <w:left w:val="single" w:color="auto" w:sz="4" w:space="0"/>
            </w:tcBorders>
            <w:vAlign w:val="center"/>
          </w:tcPr>
          <w:p>
            <w:pPr>
              <w:autoSpaceDE w:val="0"/>
              <w:autoSpaceDN w:val="0"/>
              <w:jc w:val="center"/>
              <w:rPr>
                <w:rFonts w:ascii="仿宋" w:hAnsi="仿宋" w:eastAsia="仿宋" w:cs="仿宋"/>
                <w:b/>
                <w:szCs w:val="21"/>
                <w:lang w:val="zh-CN" w:eastAsia="en-US" w:bidi="zh-CN"/>
              </w:rPr>
            </w:pPr>
            <w:r>
              <w:rPr>
                <w:rFonts w:hint="eastAsia" w:ascii="仿宋" w:hAnsi="仿宋" w:eastAsia="仿宋" w:cs="仿宋"/>
                <w:spacing w:val="-2"/>
                <w:szCs w:val="21"/>
                <w:lang w:val="zh-CN" w:eastAsia="en-US" w:bidi="zh-CN"/>
              </w:rPr>
              <w:t>技术技能平</w:t>
            </w:r>
            <w:r>
              <w:rPr>
                <w:rFonts w:hint="eastAsia" w:ascii="仿宋" w:hAnsi="仿宋" w:eastAsia="仿宋" w:cs="仿宋"/>
                <w:szCs w:val="21"/>
                <w:lang w:val="zh-CN" w:eastAsia="en-US" w:bidi="zh-CN"/>
              </w:rPr>
              <w:t>台</w:t>
            </w:r>
          </w:p>
        </w:tc>
        <w:tc>
          <w:tcPr>
            <w:tcW w:w="6504" w:type="dxa"/>
            <w:vAlign w:val="center"/>
          </w:tcPr>
          <w:p>
            <w:pPr>
              <w:autoSpaceDE w:val="0"/>
              <w:autoSpaceDN w:val="0"/>
              <w:jc w:val="center"/>
              <w:rPr>
                <w:rFonts w:ascii="仿宋" w:hAnsi="仿宋" w:eastAsia="仿宋" w:cs="仿宋"/>
                <w:spacing w:val="-9"/>
                <w:szCs w:val="21"/>
                <w:lang w:val="zh-CN" w:eastAsia="zh-CN" w:bidi="zh-CN"/>
              </w:rPr>
            </w:pPr>
            <w:r>
              <w:rPr>
                <w:rFonts w:hint="eastAsia" w:ascii="仿宋" w:hAnsi="仿宋" w:eastAsia="仿宋" w:cs="仿宋"/>
                <w:spacing w:val="-6"/>
                <w:szCs w:val="21"/>
                <w:lang w:val="zh-CN" w:eastAsia="zh-CN" w:bidi="zh-CN"/>
              </w:rPr>
              <w:t xml:space="preserve">校企建立协同育人中心 </w:t>
            </w:r>
            <w:r>
              <w:rPr>
                <w:rFonts w:hint="eastAsia" w:ascii="仿宋" w:hAnsi="仿宋" w:eastAsia="仿宋" w:cs="仿宋"/>
                <w:spacing w:val="-2"/>
                <w:szCs w:val="21"/>
                <w:lang w:val="zh-CN" w:eastAsia="zh-CN" w:bidi="zh-CN"/>
              </w:rPr>
              <w:t>1</w:t>
            </w:r>
            <w:r>
              <w:rPr>
                <w:rFonts w:hint="eastAsia" w:ascii="仿宋" w:hAnsi="仿宋" w:eastAsia="仿宋" w:cs="仿宋"/>
                <w:spacing w:val="-12"/>
                <w:szCs w:val="21"/>
                <w:lang w:val="zh-CN" w:eastAsia="zh-CN" w:bidi="zh-CN"/>
              </w:rPr>
              <w:t xml:space="preserve"> 个以上；应用协同创新中心 </w:t>
            </w:r>
            <w:r>
              <w:rPr>
                <w:rFonts w:hint="eastAsia" w:ascii="仿宋" w:hAnsi="仿宋" w:eastAsia="仿宋" w:cs="仿宋"/>
                <w:spacing w:val="-2"/>
                <w:szCs w:val="21"/>
                <w:lang w:val="zh-CN" w:eastAsia="zh-CN" w:bidi="zh-CN"/>
              </w:rPr>
              <w:t>1</w:t>
            </w:r>
            <w:r>
              <w:rPr>
                <w:rFonts w:hint="eastAsia" w:ascii="仿宋" w:hAnsi="仿宋" w:eastAsia="仿宋" w:cs="仿宋"/>
                <w:spacing w:val="-26"/>
                <w:szCs w:val="21"/>
                <w:lang w:val="zh-CN" w:eastAsia="zh-CN" w:bidi="zh-CN"/>
              </w:rPr>
              <w:t xml:space="preserve"> 个</w:t>
            </w:r>
            <w:r>
              <w:rPr>
                <w:rFonts w:hint="eastAsia" w:ascii="仿宋" w:hAnsi="仿宋" w:eastAsia="仿宋" w:cs="仿宋"/>
                <w:spacing w:val="-4"/>
                <w:szCs w:val="21"/>
                <w:lang w:val="zh-CN" w:eastAsia="zh-CN" w:bidi="zh-CN"/>
              </w:rPr>
              <w:t>以上；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jc w:val="center"/>
        </w:trPr>
        <w:tc>
          <w:tcPr>
            <w:tcW w:w="684" w:type="dxa"/>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仿宋" w:hAnsi="仿宋" w:eastAsia="仿宋" w:cs="仿宋"/>
                <w:kern w:val="0"/>
                <w:szCs w:val="21"/>
                <w:lang w:eastAsia="zh-CN"/>
              </w:rPr>
            </w:pPr>
          </w:p>
        </w:tc>
        <w:tc>
          <w:tcPr>
            <w:tcW w:w="1128" w:type="dxa"/>
            <w:tcBorders>
              <w:left w:val="single" w:color="auto" w:sz="4" w:space="0"/>
            </w:tcBorders>
            <w:vAlign w:val="center"/>
          </w:tcPr>
          <w:p>
            <w:pPr>
              <w:autoSpaceDE w:val="0"/>
              <w:autoSpaceDN w:val="0"/>
              <w:jc w:val="center"/>
              <w:rPr>
                <w:rFonts w:ascii="仿宋" w:hAnsi="仿宋" w:eastAsia="仿宋" w:cs="仿宋"/>
                <w:spacing w:val="-2"/>
                <w:szCs w:val="21"/>
                <w:lang w:val="zh-CN" w:eastAsia="en-US" w:bidi="zh-CN"/>
              </w:rPr>
            </w:pPr>
            <w:r>
              <w:rPr>
                <w:rFonts w:hint="eastAsia" w:ascii="仿宋" w:hAnsi="仿宋" w:eastAsia="仿宋" w:cs="仿宋"/>
                <w:spacing w:val="-3"/>
                <w:szCs w:val="21"/>
                <w:lang w:val="zh-CN" w:eastAsia="en-US" w:bidi="zh-CN"/>
              </w:rPr>
              <w:t>社会服务</w:t>
            </w:r>
          </w:p>
        </w:tc>
        <w:tc>
          <w:tcPr>
            <w:tcW w:w="6504" w:type="dxa"/>
            <w:vAlign w:val="center"/>
          </w:tcPr>
          <w:p>
            <w:pPr>
              <w:autoSpaceDE w:val="0"/>
              <w:autoSpaceDN w:val="0"/>
              <w:jc w:val="center"/>
              <w:rPr>
                <w:rFonts w:ascii="仿宋" w:hAnsi="仿宋" w:eastAsia="仿宋" w:cs="仿宋"/>
                <w:spacing w:val="-6"/>
                <w:szCs w:val="21"/>
                <w:lang w:val="zh-CN" w:eastAsia="zh-CN" w:bidi="zh-CN"/>
              </w:rPr>
            </w:pPr>
            <w:r>
              <w:rPr>
                <w:rFonts w:hint="eastAsia" w:ascii="仿宋" w:hAnsi="仿宋" w:eastAsia="仿宋" w:cs="仿宋"/>
                <w:szCs w:val="21"/>
                <w:lang w:val="zh-CN" w:eastAsia="zh-CN" w:bidi="zh-CN"/>
              </w:rPr>
              <w:t>“1+X</w:t>
            </w:r>
            <w:r>
              <w:rPr>
                <w:rFonts w:hint="eastAsia" w:ascii="仿宋" w:hAnsi="仿宋" w:eastAsia="仿宋" w:cs="仿宋"/>
                <w:spacing w:val="-2"/>
                <w:szCs w:val="21"/>
                <w:lang w:val="zh-CN" w:eastAsia="zh-CN" w:bidi="zh-CN"/>
              </w:rPr>
              <w:t xml:space="preserve">”证书试点考点培训 </w:t>
            </w:r>
            <w:r>
              <w:rPr>
                <w:rFonts w:hint="eastAsia" w:ascii="仿宋" w:hAnsi="仿宋" w:eastAsia="仿宋" w:cs="仿宋"/>
                <w:szCs w:val="21"/>
                <w:lang w:val="zh-CN" w:eastAsia="zh-CN" w:bidi="zh-CN"/>
              </w:rPr>
              <w:t>500</w:t>
            </w:r>
            <w:r>
              <w:rPr>
                <w:rFonts w:hint="eastAsia" w:ascii="仿宋" w:hAnsi="仿宋" w:eastAsia="仿宋" w:cs="仿宋"/>
                <w:spacing w:val="-6"/>
                <w:szCs w:val="21"/>
                <w:lang w:val="zh-CN" w:eastAsia="zh-CN" w:bidi="zh-CN"/>
              </w:rPr>
              <w:t xml:space="preserve"> 人次以上；省级以上纵向</w:t>
            </w:r>
            <w:r>
              <w:rPr>
                <w:rFonts w:hint="eastAsia" w:ascii="仿宋" w:hAnsi="仿宋" w:eastAsia="仿宋" w:cs="仿宋"/>
                <w:spacing w:val="-15"/>
                <w:szCs w:val="21"/>
                <w:lang w:val="zh-CN" w:eastAsia="zh-CN" w:bidi="zh-CN"/>
              </w:rPr>
              <w:t xml:space="preserve">课题 </w:t>
            </w:r>
            <w:r>
              <w:rPr>
                <w:rFonts w:hint="eastAsia" w:ascii="仿宋" w:hAnsi="仿宋" w:eastAsia="仿宋" w:cs="仿宋"/>
                <w:spacing w:val="-2"/>
                <w:szCs w:val="21"/>
                <w:lang w:val="zh-CN" w:eastAsia="zh-CN" w:bidi="zh-CN"/>
              </w:rPr>
              <w:t>5</w:t>
            </w:r>
            <w:r>
              <w:rPr>
                <w:rFonts w:hint="eastAsia" w:ascii="仿宋" w:hAnsi="仿宋" w:eastAsia="仿宋" w:cs="仿宋"/>
                <w:spacing w:val="-12"/>
                <w:szCs w:val="21"/>
                <w:lang w:val="zh-CN" w:eastAsia="zh-CN" w:bidi="zh-CN"/>
              </w:rPr>
              <w:t xml:space="preserve"> 项以上，到款额 </w:t>
            </w:r>
            <w:r>
              <w:rPr>
                <w:rFonts w:hint="eastAsia" w:ascii="仿宋" w:hAnsi="仿宋" w:eastAsia="仿宋" w:cs="仿宋"/>
                <w:spacing w:val="-2"/>
                <w:szCs w:val="21"/>
                <w:lang w:val="zh-CN" w:eastAsia="zh-CN" w:bidi="zh-CN"/>
              </w:rPr>
              <w:t>100</w:t>
            </w:r>
            <w:r>
              <w:rPr>
                <w:rFonts w:hint="eastAsia" w:ascii="仿宋" w:hAnsi="仿宋" w:eastAsia="仿宋" w:cs="仿宋"/>
                <w:spacing w:val="-11"/>
                <w:szCs w:val="21"/>
                <w:lang w:val="zh-CN" w:eastAsia="zh-CN" w:bidi="zh-CN"/>
              </w:rPr>
              <w:t xml:space="preserve"> 万以上；各类专利 </w:t>
            </w:r>
            <w:r>
              <w:rPr>
                <w:rFonts w:hint="eastAsia" w:ascii="仿宋" w:hAnsi="仿宋" w:eastAsia="仿宋" w:cs="仿宋"/>
                <w:spacing w:val="-2"/>
                <w:szCs w:val="21"/>
                <w:lang w:val="zh-CN" w:eastAsia="zh-CN" w:bidi="zh-CN"/>
              </w:rPr>
              <w:t>10</w:t>
            </w:r>
            <w:r>
              <w:rPr>
                <w:rFonts w:hint="eastAsia" w:ascii="仿宋" w:hAnsi="仿宋" w:eastAsia="仿宋" w:cs="仿宋"/>
                <w:spacing w:val="-13"/>
                <w:szCs w:val="21"/>
                <w:lang w:val="zh-CN" w:eastAsia="zh-CN" w:bidi="zh-CN"/>
              </w:rPr>
              <w:t xml:space="preserve"> 项以上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jc w:val="center"/>
        </w:trPr>
        <w:tc>
          <w:tcPr>
            <w:tcW w:w="684" w:type="dxa"/>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仿宋" w:hAnsi="仿宋" w:eastAsia="仿宋" w:cs="仿宋"/>
                <w:kern w:val="0"/>
                <w:szCs w:val="21"/>
                <w:lang w:eastAsia="zh-CN"/>
              </w:rPr>
            </w:pPr>
          </w:p>
        </w:tc>
        <w:tc>
          <w:tcPr>
            <w:tcW w:w="1128" w:type="dxa"/>
            <w:tcBorders>
              <w:left w:val="single" w:color="auto" w:sz="4" w:space="0"/>
            </w:tcBorders>
            <w:vAlign w:val="center"/>
          </w:tcPr>
          <w:p>
            <w:pPr>
              <w:autoSpaceDE w:val="0"/>
              <w:autoSpaceDN w:val="0"/>
              <w:jc w:val="center"/>
              <w:rPr>
                <w:rFonts w:ascii="仿宋" w:hAnsi="仿宋" w:eastAsia="仿宋" w:cs="仿宋"/>
                <w:spacing w:val="-3"/>
                <w:szCs w:val="21"/>
                <w:lang w:val="zh-CN" w:eastAsia="en-US" w:bidi="zh-CN"/>
              </w:rPr>
            </w:pPr>
            <w:r>
              <w:rPr>
                <w:rFonts w:hint="eastAsia" w:ascii="仿宋" w:hAnsi="仿宋" w:eastAsia="仿宋" w:cs="仿宋"/>
                <w:spacing w:val="-2"/>
                <w:szCs w:val="21"/>
                <w:lang w:val="zh-CN" w:eastAsia="en-US" w:bidi="zh-CN"/>
              </w:rPr>
              <w:t>国际交流与</w:t>
            </w:r>
            <w:r>
              <w:rPr>
                <w:rFonts w:hint="eastAsia" w:ascii="仿宋" w:hAnsi="仿宋" w:eastAsia="仿宋" w:cs="仿宋"/>
                <w:spacing w:val="-5"/>
                <w:szCs w:val="21"/>
                <w:lang w:val="zh-CN" w:eastAsia="en-US" w:bidi="zh-CN"/>
              </w:rPr>
              <w:t>合作</w:t>
            </w:r>
          </w:p>
        </w:tc>
        <w:tc>
          <w:tcPr>
            <w:tcW w:w="6504" w:type="dxa"/>
            <w:vAlign w:val="center"/>
          </w:tcPr>
          <w:p>
            <w:pPr>
              <w:autoSpaceDE w:val="0"/>
              <w:autoSpaceDN w:val="0"/>
              <w:jc w:val="center"/>
              <w:rPr>
                <w:rFonts w:ascii="仿宋" w:hAnsi="仿宋" w:eastAsia="仿宋" w:cs="仿宋"/>
                <w:szCs w:val="21"/>
                <w:lang w:val="zh-CN" w:eastAsia="zh-CN" w:bidi="zh-CN"/>
              </w:rPr>
            </w:pPr>
            <w:r>
              <w:rPr>
                <w:rFonts w:hint="eastAsia" w:ascii="仿宋" w:hAnsi="仿宋" w:eastAsia="仿宋" w:cs="仿宋"/>
                <w:spacing w:val="-5"/>
                <w:szCs w:val="21"/>
                <w:lang w:val="zh-CN" w:eastAsia="zh-CN" w:bidi="zh-CN"/>
              </w:rPr>
              <w:t xml:space="preserve">进行师生国际交流 </w:t>
            </w:r>
            <w:r>
              <w:rPr>
                <w:rFonts w:hint="eastAsia" w:ascii="仿宋" w:hAnsi="仿宋" w:eastAsia="仿宋" w:cs="仿宋"/>
                <w:szCs w:val="21"/>
                <w:lang w:val="zh-CN" w:eastAsia="zh-CN" w:bidi="zh-CN"/>
              </w:rPr>
              <w:t>3</w:t>
            </w:r>
            <w:r>
              <w:rPr>
                <w:rFonts w:hint="eastAsia" w:ascii="仿宋" w:hAnsi="仿宋" w:eastAsia="仿宋" w:cs="仿宋"/>
                <w:spacing w:val="-14"/>
                <w:szCs w:val="21"/>
                <w:lang w:val="zh-CN" w:eastAsia="zh-CN" w:bidi="zh-CN"/>
              </w:rPr>
              <w:t xml:space="preserve"> 项以上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jc w:val="center"/>
        </w:trPr>
        <w:tc>
          <w:tcPr>
            <w:tcW w:w="684" w:type="dxa"/>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仿宋" w:hAnsi="仿宋" w:eastAsia="仿宋" w:cs="仿宋"/>
                <w:kern w:val="0"/>
                <w:szCs w:val="21"/>
                <w:lang w:eastAsia="zh-CN"/>
              </w:rPr>
            </w:pPr>
          </w:p>
        </w:tc>
        <w:tc>
          <w:tcPr>
            <w:tcW w:w="1128" w:type="dxa"/>
            <w:tcBorders>
              <w:left w:val="single" w:color="auto" w:sz="4" w:space="0"/>
            </w:tcBorders>
            <w:vAlign w:val="center"/>
          </w:tcPr>
          <w:p>
            <w:pPr>
              <w:autoSpaceDE w:val="0"/>
              <w:autoSpaceDN w:val="0"/>
              <w:jc w:val="center"/>
              <w:rPr>
                <w:rFonts w:ascii="仿宋" w:hAnsi="仿宋" w:eastAsia="仿宋" w:cs="仿宋"/>
                <w:spacing w:val="-2"/>
                <w:szCs w:val="21"/>
                <w:lang w:val="zh-CN" w:eastAsia="en-US" w:bidi="zh-CN"/>
              </w:rPr>
            </w:pPr>
            <w:r>
              <w:rPr>
                <w:rFonts w:hint="eastAsia" w:ascii="仿宋" w:hAnsi="仿宋" w:eastAsia="仿宋" w:cs="仿宋"/>
                <w:spacing w:val="-2"/>
                <w:szCs w:val="21"/>
                <w:lang w:val="zh-CN" w:eastAsia="en-US" w:bidi="zh-CN"/>
              </w:rPr>
              <w:t>可持续发展</w:t>
            </w:r>
            <w:r>
              <w:rPr>
                <w:rFonts w:hint="eastAsia" w:ascii="仿宋" w:hAnsi="仿宋" w:eastAsia="仿宋" w:cs="仿宋"/>
                <w:spacing w:val="-3"/>
                <w:szCs w:val="21"/>
                <w:lang w:val="zh-CN" w:eastAsia="en-US" w:bidi="zh-CN"/>
              </w:rPr>
              <w:t>保障机制</w:t>
            </w:r>
          </w:p>
        </w:tc>
        <w:tc>
          <w:tcPr>
            <w:tcW w:w="6504" w:type="dxa"/>
            <w:vAlign w:val="center"/>
          </w:tcPr>
          <w:p>
            <w:pPr>
              <w:autoSpaceDE w:val="0"/>
              <w:autoSpaceDN w:val="0"/>
              <w:jc w:val="center"/>
              <w:rPr>
                <w:rFonts w:ascii="仿宋" w:hAnsi="仿宋" w:eastAsia="仿宋" w:cs="仿宋"/>
                <w:spacing w:val="-5"/>
                <w:szCs w:val="21"/>
                <w:lang w:val="zh-CN" w:eastAsia="zh-CN" w:bidi="zh-CN"/>
              </w:rPr>
            </w:pPr>
            <w:r>
              <w:rPr>
                <w:rFonts w:hint="eastAsia" w:ascii="仿宋" w:hAnsi="仿宋" w:eastAsia="仿宋" w:cs="仿宋"/>
                <w:spacing w:val="-3"/>
                <w:szCs w:val="21"/>
                <w:lang w:val="zh-CN" w:eastAsia="zh-CN" w:bidi="zh-CN"/>
              </w:rPr>
              <w:t>建立常态化毕业生能力跟踪评价机制，实现专业的自我诊断与更新</w:t>
            </w:r>
          </w:p>
        </w:tc>
      </w:tr>
    </w:tbl>
    <w:p>
      <w:pPr>
        <w:spacing w:line="540" w:lineRule="exact"/>
        <w:ind w:firstLine="562" w:firstLineChars="200"/>
        <w:rPr>
          <w:rFonts w:ascii="仿宋" w:hAnsi="仿宋" w:eastAsia="仿宋"/>
          <w:b/>
          <w:bCs/>
          <w:sz w:val="28"/>
          <w:szCs w:val="28"/>
        </w:rPr>
      </w:pPr>
      <w:r>
        <w:rPr>
          <w:rFonts w:hint="eastAsia" w:ascii="仿宋" w:hAnsi="仿宋" w:eastAsia="仿宋"/>
          <w:b/>
          <w:bCs/>
          <w:sz w:val="28"/>
          <w:szCs w:val="28"/>
        </w:rPr>
        <w:t>④ 完善专业群动态调整机制</w:t>
      </w:r>
    </w:p>
    <w:p>
      <w:pPr>
        <w:spacing w:line="540" w:lineRule="exact"/>
        <w:ind w:firstLine="562" w:firstLineChars="200"/>
        <w:rPr>
          <w:rFonts w:ascii="仿宋" w:hAnsi="仿宋" w:eastAsia="仿宋"/>
          <w:sz w:val="28"/>
          <w:szCs w:val="28"/>
        </w:rPr>
      </w:pPr>
      <w:r>
        <w:rPr>
          <w:rFonts w:ascii="仿宋" w:hAnsi="仿宋" w:eastAsia="仿宋"/>
          <w:b/>
          <w:bCs/>
          <w:sz w:val="28"/>
          <w:szCs w:val="28"/>
        </w:rPr>
        <w:t>专业群动态调整机制</w:t>
      </w:r>
      <w:r>
        <w:rPr>
          <w:rFonts w:hint="eastAsia" w:ascii="仿宋" w:hAnsi="仿宋" w:eastAsia="仿宋"/>
          <w:b/>
          <w:bCs/>
          <w:sz w:val="28"/>
          <w:szCs w:val="28"/>
        </w:rPr>
        <w:t>。</w:t>
      </w:r>
      <w:r>
        <w:rPr>
          <w:rFonts w:ascii="仿宋" w:hAnsi="仿宋" w:eastAsia="仿宋"/>
          <w:sz w:val="28"/>
          <w:szCs w:val="28"/>
        </w:rPr>
        <w:t>面向智能制造与新一代电子信息技术领域发展态势，动态更新专业实现新老专业科学、合理地更替。专业群面向新一代信息产业系统集成与应用技术，优化由“政府决策部门、行业协会、企业、学院”组成的专业群建设指导委员会，及时更新产业发展数据和人才需求信息；专业群建立产业结构发展数据库，通过调研，不断丰富数据库数据，通过定量与定性分析数据库数据，动态更新专业群内专业，实现新老专业的实时更替，形成更加科学、合理的专业群的动态调整机制，以适应行业、企业对专业人才培养的实时需求。</w:t>
      </w:r>
    </w:p>
    <w:p>
      <w:pPr>
        <w:spacing w:line="540" w:lineRule="exact"/>
        <w:ind w:firstLine="562" w:firstLineChars="200"/>
        <w:rPr>
          <w:rFonts w:ascii="仿宋" w:hAnsi="仿宋" w:eastAsia="仿宋"/>
          <w:sz w:val="28"/>
          <w:szCs w:val="28"/>
        </w:rPr>
      </w:pPr>
      <w:r>
        <w:rPr>
          <w:rFonts w:ascii="仿宋" w:hAnsi="仿宋" w:eastAsia="仿宋"/>
          <w:b/>
          <w:bCs/>
          <w:sz w:val="28"/>
          <w:szCs w:val="28"/>
        </w:rPr>
        <w:t>专业群诊断改进机制</w:t>
      </w:r>
      <w:r>
        <w:rPr>
          <w:rFonts w:hint="eastAsia" w:ascii="仿宋" w:hAnsi="仿宋" w:eastAsia="仿宋"/>
          <w:b/>
          <w:bCs/>
          <w:sz w:val="28"/>
          <w:szCs w:val="28"/>
        </w:rPr>
        <w:t>。</w:t>
      </w:r>
      <w:r>
        <w:rPr>
          <w:rFonts w:ascii="仿宋" w:hAnsi="仿宋" w:eastAsia="仿宋"/>
          <w:sz w:val="28"/>
          <w:szCs w:val="28"/>
        </w:rPr>
        <w:t>校企建立专业群“目标</w:t>
      </w:r>
      <w:r>
        <w:rPr>
          <w:rFonts w:hint="eastAsia" w:ascii="仿宋" w:hAnsi="仿宋" w:eastAsia="仿宋"/>
          <w:sz w:val="28"/>
          <w:szCs w:val="28"/>
        </w:rPr>
        <w:t>－</w:t>
      </w:r>
      <w:r>
        <w:rPr>
          <w:rFonts w:ascii="仿宋" w:hAnsi="仿宋" w:eastAsia="仿宋"/>
          <w:sz w:val="28"/>
          <w:szCs w:val="28"/>
        </w:rPr>
        <w:t>标准</w:t>
      </w:r>
      <w:r>
        <w:rPr>
          <w:rFonts w:hint="eastAsia" w:ascii="仿宋" w:hAnsi="仿宋" w:eastAsia="仿宋"/>
          <w:sz w:val="28"/>
          <w:szCs w:val="28"/>
        </w:rPr>
        <w:t>－</w:t>
      </w:r>
      <w:r>
        <w:rPr>
          <w:rFonts w:ascii="仿宋" w:hAnsi="仿宋" w:eastAsia="仿宋"/>
          <w:sz w:val="28"/>
          <w:szCs w:val="28"/>
        </w:rPr>
        <w:t>运行</w:t>
      </w:r>
      <w:r>
        <w:rPr>
          <w:rFonts w:hint="eastAsia" w:ascii="仿宋" w:hAnsi="仿宋" w:eastAsia="仿宋"/>
          <w:sz w:val="28"/>
          <w:szCs w:val="28"/>
        </w:rPr>
        <w:t>－</w:t>
      </w:r>
      <w:r>
        <w:rPr>
          <w:rFonts w:ascii="仿宋" w:hAnsi="仿宋" w:eastAsia="仿宋"/>
          <w:sz w:val="28"/>
          <w:szCs w:val="28"/>
        </w:rPr>
        <w:t>诊断</w:t>
      </w:r>
      <w:r>
        <w:rPr>
          <w:rFonts w:hint="eastAsia" w:ascii="仿宋" w:hAnsi="仿宋" w:eastAsia="仿宋"/>
          <w:sz w:val="28"/>
          <w:szCs w:val="28"/>
        </w:rPr>
        <w:t>－</w:t>
      </w:r>
      <w:r>
        <w:rPr>
          <w:rFonts w:ascii="仿宋" w:hAnsi="仿宋" w:eastAsia="仿宋"/>
          <w:sz w:val="28"/>
          <w:szCs w:val="28"/>
        </w:rPr>
        <w:t>改进”质量螺旋递进的常态化诊断改进机制，动态调整个性化人才培养方案。在学校教学诊断与改进体系框架下，依托专业群</w:t>
      </w:r>
      <w:r>
        <w:rPr>
          <w:rFonts w:hint="eastAsia" w:ascii="仿宋" w:hAnsi="仿宋" w:eastAsia="仿宋"/>
          <w:sz w:val="28"/>
          <w:szCs w:val="28"/>
        </w:rPr>
        <w:t>产业</w:t>
      </w:r>
      <w:r>
        <w:rPr>
          <w:rFonts w:ascii="仿宋" w:hAnsi="仿宋" w:eastAsia="仿宋"/>
          <w:sz w:val="28"/>
          <w:szCs w:val="28"/>
        </w:rPr>
        <w:t>学院建设，优化二级学院和专业群层级的人才培养质量保障委员会；专业群建立专业建设、课程建设、教师发展、学生成长等系列标准，设定目标值、标准值和预警值，形成专业群质量管理标准体系；围绕“专业</w:t>
      </w:r>
      <w:r>
        <w:rPr>
          <w:rFonts w:hint="eastAsia" w:ascii="仿宋" w:hAnsi="仿宋" w:eastAsia="仿宋"/>
          <w:sz w:val="28"/>
          <w:szCs w:val="28"/>
        </w:rPr>
        <w:t>－</w:t>
      </w:r>
      <w:r>
        <w:rPr>
          <w:rFonts w:ascii="仿宋" w:hAnsi="仿宋" w:eastAsia="仿宋"/>
          <w:sz w:val="28"/>
          <w:szCs w:val="28"/>
        </w:rPr>
        <w:t>课程</w:t>
      </w:r>
      <w:r>
        <w:rPr>
          <w:rFonts w:hint="eastAsia" w:ascii="仿宋" w:hAnsi="仿宋" w:eastAsia="仿宋"/>
          <w:sz w:val="28"/>
          <w:szCs w:val="28"/>
        </w:rPr>
        <w:t>－</w:t>
      </w:r>
      <w:r>
        <w:rPr>
          <w:rFonts w:ascii="仿宋" w:hAnsi="仿宋" w:eastAsia="仿宋"/>
          <w:sz w:val="28"/>
          <w:szCs w:val="28"/>
        </w:rPr>
        <w:t>教师</w:t>
      </w:r>
      <w:r>
        <w:rPr>
          <w:rFonts w:hint="eastAsia" w:ascii="仿宋" w:hAnsi="仿宋" w:eastAsia="仿宋"/>
          <w:sz w:val="28"/>
          <w:szCs w:val="28"/>
        </w:rPr>
        <w:t>－</w:t>
      </w:r>
      <w:r>
        <w:rPr>
          <w:rFonts w:ascii="仿宋" w:hAnsi="仿宋" w:eastAsia="仿宋"/>
          <w:sz w:val="28"/>
          <w:szCs w:val="28"/>
        </w:rPr>
        <w:t xml:space="preserve">学生”等四个维度，开展专业层面的考核性诊改、课程层面的过程监控诊改、教师和学生层面的考核性诊改，全方位实时监控质量运行，形成学校自我诊断、行业和企业诊断、第三方诊断的质量评价机制。 </w:t>
      </w:r>
    </w:p>
    <w:p>
      <w:pPr>
        <w:spacing w:line="540" w:lineRule="exact"/>
        <w:ind w:firstLine="562" w:firstLineChars="200"/>
        <w:rPr>
          <w:rFonts w:ascii="仿宋" w:hAnsi="仿宋" w:eastAsia="仿宋"/>
          <w:sz w:val="28"/>
          <w:szCs w:val="28"/>
        </w:rPr>
      </w:pPr>
      <w:r>
        <w:rPr>
          <w:rFonts w:ascii="仿宋" w:hAnsi="仿宋" w:eastAsia="仿宋"/>
          <w:b/>
          <w:bCs/>
          <w:sz w:val="28"/>
          <w:szCs w:val="28"/>
        </w:rPr>
        <w:t>专业群长效保障机制</w:t>
      </w:r>
      <w:r>
        <w:rPr>
          <w:rFonts w:hint="eastAsia" w:ascii="仿宋" w:hAnsi="仿宋" w:eastAsia="仿宋"/>
          <w:b/>
          <w:bCs/>
          <w:sz w:val="28"/>
          <w:szCs w:val="28"/>
        </w:rPr>
        <w:t>。</w:t>
      </w:r>
      <w:r>
        <w:rPr>
          <w:rFonts w:ascii="仿宋" w:hAnsi="仿宋" w:eastAsia="仿宋"/>
          <w:sz w:val="28"/>
          <w:szCs w:val="28"/>
        </w:rPr>
        <w:t>动态实施平台建设和人才培养，从政策、经费、组织推动教育链与产业链融合，实现人才成长和队伍完善。专业群多方筹集社会资源，联合</w:t>
      </w:r>
      <w:r>
        <w:rPr>
          <w:rFonts w:hint="eastAsia" w:ascii="仿宋" w:hAnsi="仿宋" w:eastAsia="仿宋"/>
          <w:sz w:val="28"/>
          <w:szCs w:val="28"/>
        </w:rPr>
        <w:t>T</w:t>
      </w:r>
      <w:r>
        <w:rPr>
          <w:rFonts w:ascii="仿宋" w:hAnsi="仿宋" w:eastAsia="仿宋"/>
          <w:sz w:val="28"/>
          <w:szCs w:val="28"/>
        </w:rPr>
        <w:t>CL股份有限公司等行业知名企业“共建、共培、共同”参与专业群建设，打造教育链与产业链的融合平台，激发专业群建设的办学活力；学院自筹部分经费， 围绕学院“双高计划”建设项目统筹安排使用，开展专业群建设的特色项目建设。</w:t>
      </w:r>
    </w:p>
    <w:p>
      <w:pPr>
        <w:keepNext/>
        <w:keepLines/>
        <w:spacing w:line="540" w:lineRule="exact"/>
        <w:ind w:firstLine="562" w:firstLineChars="200"/>
        <w:outlineLvl w:val="3"/>
        <w:rPr>
          <w:rFonts w:ascii="Times New Roman" w:hAnsi="Times New Roman" w:eastAsia="仿宋"/>
          <w:b/>
          <w:sz w:val="28"/>
          <w:szCs w:val="28"/>
        </w:rPr>
      </w:pPr>
      <w:r>
        <w:rPr>
          <w:rFonts w:hint="eastAsia" w:ascii="Times New Roman" w:hAnsi="Times New Roman" w:eastAsia="仿宋"/>
          <w:b/>
          <w:sz w:val="28"/>
          <w:szCs w:val="28"/>
        </w:rPr>
        <w:t>（5）建设计划</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3631"/>
        <w:gridCol w:w="12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704" w:type="dxa"/>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lang w:eastAsia="en-US"/>
              </w:rPr>
            </w:pPr>
            <w:r>
              <w:rPr>
                <w:rFonts w:hint="eastAsia" w:ascii="仿宋" w:hAnsi="仿宋" w:eastAsia="仿宋" w:cs="仿宋"/>
                <w:b/>
                <w:bCs/>
                <w:color w:val="000000"/>
                <w:kern w:val="0"/>
                <w:szCs w:val="21"/>
                <w:lang w:eastAsia="en-US"/>
              </w:rPr>
              <w:t>年度</w:t>
            </w:r>
          </w:p>
        </w:tc>
        <w:tc>
          <w:tcPr>
            <w:tcW w:w="1704" w:type="dxa"/>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lang w:eastAsia="en-US"/>
              </w:rPr>
            </w:pPr>
            <w:r>
              <w:rPr>
                <w:rFonts w:hint="eastAsia" w:ascii="仿宋" w:hAnsi="仿宋" w:eastAsia="仿宋" w:cs="仿宋"/>
                <w:b/>
                <w:bCs/>
                <w:color w:val="000000"/>
                <w:kern w:val="0"/>
                <w:szCs w:val="21"/>
                <w:lang w:eastAsia="en-US"/>
              </w:rPr>
              <w:t>建设任务</w:t>
            </w:r>
          </w:p>
        </w:tc>
        <w:tc>
          <w:tcPr>
            <w:tcW w:w="3631" w:type="dxa"/>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lang w:eastAsia="en-US"/>
              </w:rPr>
            </w:pPr>
            <w:r>
              <w:rPr>
                <w:rFonts w:hint="eastAsia" w:ascii="仿宋" w:hAnsi="仿宋" w:eastAsia="仿宋" w:cs="仿宋"/>
                <w:b/>
                <w:bCs/>
                <w:color w:val="000000"/>
                <w:kern w:val="0"/>
                <w:szCs w:val="21"/>
                <w:lang w:eastAsia="en-US"/>
              </w:rPr>
              <w:t>建设内容</w:t>
            </w:r>
          </w:p>
        </w:tc>
        <w:tc>
          <w:tcPr>
            <w:tcW w:w="1291" w:type="dxa"/>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lang w:eastAsia="en-US"/>
              </w:rPr>
            </w:pPr>
            <w:r>
              <w:rPr>
                <w:rFonts w:hint="eastAsia" w:ascii="仿宋" w:hAnsi="仿宋" w:eastAsia="仿宋" w:cs="仿宋"/>
                <w:b/>
                <w:bCs/>
                <w:color w:val="000000"/>
                <w:kern w:val="0"/>
                <w:szCs w:val="21"/>
                <w:lang w:eastAsia="en-US"/>
              </w:rPr>
              <w:t>负责部门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restart"/>
            <w:vAlign w:val="center"/>
          </w:tcPr>
          <w:p>
            <w:pPr>
              <w:spacing w:line="260" w:lineRule="exact"/>
              <w:jc w:val="center"/>
              <w:rPr>
                <w:rFonts w:ascii="仿宋" w:hAnsi="仿宋" w:eastAsia="仿宋" w:cs="仿宋"/>
                <w:b/>
                <w:szCs w:val="21"/>
              </w:rPr>
            </w:pPr>
            <w:r>
              <w:rPr>
                <w:rFonts w:hint="eastAsia" w:ascii="仿宋" w:hAnsi="仿宋" w:eastAsia="仿宋" w:cs="仿宋"/>
                <w:b/>
                <w:szCs w:val="21"/>
              </w:rPr>
              <w:t>2023</w:t>
            </w:r>
          </w:p>
        </w:tc>
        <w:tc>
          <w:tcPr>
            <w:tcW w:w="1704" w:type="dxa"/>
            <w:vAlign w:val="center"/>
          </w:tcPr>
          <w:p>
            <w:pPr>
              <w:spacing w:line="260" w:lineRule="exact"/>
              <w:rPr>
                <w:rFonts w:ascii="仿宋" w:hAnsi="仿宋" w:eastAsia="仿宋" w:cs="仿宋"/>
                <w:bCs/>
                <w:szCs w:val="21"/>
              </w:rPr>
            </w:pPr>
            <w:r>
              <w:rPr>
                <w:rFonts w:hint="eastAsia" w:ascii="仿宋" w:hAnsi="仿宋" w:eastAsia="仿宋" w:cs="仿宋"/>
                <w:bCs/>
                <w:szCs w:val="21"/>
              </w:rPr>
              <w:t>构建服务“智能工厂”的专业集群</w:t>
            </w:r>
          </w:p>
        </w:tc>
        <w:tc>
          <w:tcPr>
            <w:tcW w:w="3631" w:type="dxa"/>
            <w:vAlign w:val="center"/>
          </w:tcPr>
          <w:p>
            <w:pPr>
              <w:spacing w:line="260" w:lineRule="exact"/>
              <w:rPr>
                <w:rFonts w:ascii="仿宋" w:hAnsi="仿宋" w:eastAsia="仿宋" w:cs="仿宋"/>
                <w:bCs/>
                <w:szCs w:val="21"/>
              </w:rPr>
            </w:pPr>
            <w:r>
              <w:rPr>
                <w:rFonts w:hint="eastAsia" w:ascii="仿宋" w:hAnsi="仿宋" w:eastAsia="仿宋" w:cs="仿宋"/>
                <w:bCs/>
                <w:szCs w:val="21"/>
              </w:rPr>
              <w:t>研究国家、区域智能制造及职业教育的发展规划，以及国内外智能制造关键技术的发展方向</w:t>
            </w:r>
          </w:p>
        </w:tc>
        <w:tc>
          <w:tcPr>
            <w:tcW w:w="1291"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教务处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continue"/>
            <w:vAlign w:val="center"/>
          </w:tcPr>
          <w:p>
            <w:pPr>
              <w:spacing w:line="260" w:lineRule="exact"/>
              <w:jc w:val="center"/>
              <w:rPr>
                <w:rFonts w:ascii="仿宋" w:hAnsi="仿宋" w:eastAsia="仿宋" w:cs="仿宋"/>
                <w:b/>
                <w:szCs w:val="21"/>
              </w:rPr>
            </w:pPr>
          </w:p>
        </w:tc>
        <w:tc>
          <w:tcPr>
            <w:tcW w:w="1704" w:type="dxa"/>
            <w:vAlign w:val="center"/>
          </w:tcPr>
          <w:p>
            <w:pPr>
              <w:spacing w:line="260" w:lineRule="exact"/>
              <w:rPr>
                <w:rFonts w:ascii="仿宋" w:hAnsi="仿宋" w:eastAsia="仿宋" w:cs="仿宋"/>
                <w:bCs/>
                <w:szCs w:val="21"/>
              </w:rPr>
            </w:pPr>
            <w:r>
              <w:rPr>
                <w:rFonts w:hint="eastAsia" w:ascii="仿宋" w:hAnsi="仿宋" w:eastAsia="仿宋" w:cs="仿宋"/>
                <w:bCs/>
                <w:szCs w:val="21"/>
              </w:rPr>
              <w:t>创新专业群建设模式</w:t>
            </w:r>
          </w:p>
        </w:tc>
        <w:tc>
          <w:tcPr>
            <w:tcW w:w="3631" w:type="dxa"/>
            <w:vAlign w:val="center"/>
          </w:tcPr>
          <w:p>
            <w:pPr>
              <w:spacing w:line="260" w:lineRule="exact"/>
              <w:rPr>
                <w:rFonts w:ascii="仿宋" w:hAnsi="仿宋" w:eastAsia="仿宋" w:cs="仿宋"/>
                <w:bCs/>
                <w:szCs w:val="21"/>
              </w:rPr>
            </w:pPr>
            <w:r>
              <w:rPr>
                <w:rFonts w:hint="eastAsia" w:ascii="仿宋" w:hAnsi="仿宋" w:eastAsia="仿宋" w:cs="仿宋"/>
                <w:bCs/>
                <w:szCs w:val="21"/>
              </w:rPr>
              <w:t>通过对专业群建设的主题、要素、功能和支持系统等方面的研究，构建“双标同步、三级统筹”专业群建设模式</w:t>
            </w:r>
          </w:p>
        </w:tc>
        <w:tc>
          <w:tcPr>
            <w:tcW w:w="1291"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教务处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continue"/>
            <w:vAlign w:val="center"/>
          </w:tcPr>
          <w:p>
            <w:pPr>
              <w:spacing w:line="260" w:lineRule="exact"/>
              <w:jc w:val="center"/>
              <w:rPr>
                <w:rFonts w:ascii="仿宋" w:hAnsi="仿宋" w:eastAsia="仿宋" w:cs="仿宋"/>
                <w:b/>
                <w:szCs w:val="21"/>
              </w:rPr>
            </w:pPr>
          </w:p>
        </w:tc>
        <w:tc>
          <w:tcPr>
            <w:tcW w:w="1704" w:type="dxa"/>
            <w:vAlign w:val="center"/>
          </w:tcPr>
          <w:p>
            <w:pPr>
              <w:spacing w:line="260" w:lineRule="exact"/>
              <w:rPr>
                <w:rFonts w:ascii="仿宋" w:hAnsi="仿宋" w:eastAsia="仿宋" w:cs="仿宋"/>
                <w:bCs/>
                <w:szCs w:val="21"/>
              </w:rPr>
            </w:pPr>
            <w:r>
              <w:rPr>
                <w:rFonts w:hint="eastAsia" w:ascii="仿宋" w:hAnsi="仿宋" w:eastAsia="仿宋" w:cs="仿宋"/>
                <w:bCs/>
                <w:szCs w:val="21"/>
              </w:rPr>
              <w:t>提升专业群建设内涵</w:t>
            </w:r>
          </w:p>
        </w:tc>
        <w:tc>
          <w:tcPr>
            <w:tcW w:w="3631" w:type="dxa"/>
            <w:vAlign w:val="center"/>
          </w:tcPr>
          <w:p>
            <w:pPr>
              <w:spacing w:line="260" w:lineRule="exact"/>
              <w:rPr>
                <w:rFonts w:ascii="仿宋" w:hAnsi="仿宋" w:eastAsia="仿宋" w:cs="仿宋"/>
                <w:bCs/>
                <w:szCs w:val="21"/>
              </w:rPr>
            </w:pPr>
            <w:r>
              <w:rPr>
                <w:rFonts w:hint="eastAsia" w:ascii="仿宋" w:hAnsi="仿宋" w:eastAsia="仿宋" w:cs="仿宋"/>
                <w:bCs/>
                <w:szCs w:val="21"/>
              </w:rPr>
              <w:t>对接生产前沿和工作过程，同步更新教学内容</w:t>
            </w:r>
          </w:p>
        </w:tc>
        <w:tc>
          <w:tcPr>
            <w:tcW w:w="1291"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教务处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continue"/>
            <w:vAlign w:val="center"/>
          </w:tcPr>
          <w:p>
            <w:pPr>
              <w:spacing w:line="260" w:lineRule="exact"/>
              <w:jc w:val="center"/>
              <w:rPr>
                <w:rFonts w:ascii="仿宋" w:hAnsi="仿宋" w:eastAsia="仿宋" w:cs="仿宋"/>
                <w:b/>
                <w:szCs w:val="21"/>
              </w:rPr>
            </w:pPr>
          </w:p>
        </w:tc>
        <w:tc>
          <w:tcPr>
            <w:tcW w:w="1704" w:type="dxa"/>
            <w:vAlign w:val="center"/>
          </w:tcPr>
          <w:p>
            <w:pPr>
              <w:spacing w:line="260" w:lineRule="exact"/>
              <w:rPr>
                <w:rFonts w:ascii="仿宋" w:hAnsi="仿宋" w:eastAsia="仿宋" w:cs="仿宋"/>
                <w:bCs/>
                <w:szCs w:val="21"/>
              </w:rPr>
            </w:pPr>
            <w:r>
              <w:rPr>
                <w:rFonts w:hint="eastAsia" w:ascii="仿宋" w:hAnsi="仿宋" w:eastAsia="仿宋" w:cs="仿宋"/>
                <w:bCs/>
                <w:szCs w:val="21"/>
              </w:rPr>
              <w:t>完善专业群动态调整机制</w:t>
            </w:r>
          </w:p>
        </w:tc>
        <w:tc>
          <w:tcPr>
            <w:tcW w:w="3631" w:type="dxa"/>
            <w:vAlign w:val="center"/>
          </w:tcPr>
          <w:p>
            <w:pPr>
              <w:spacing w:line="260" w:lineRule="exact"/>
              <w:rPr>
                <w:rFonts w:ascii="仿宋" w:hAnsi="仿宋" w:eastAsia="仿宋" w:cs="仿宋"/>
                <w:bCs/>
                <w:szCs w:val="21"/>
              </w:rPr>
            </w:pPr>
            <w:r>
              <w:rPr>
                <w:rFonts w:hint="eastAsia" w:ascii="仿宋" w:hAnsi="仿宋" w:eastAsia="仿宋" w:cs="仿宋"/>
                <w:bCs/>
                <w:szCs w:val="21"/>
              </w:rPr>
              <w:t>实现新老专业的实时更替，形成更加科学、合理的专业群的动态调整机制，以适应行业、企业对专业人才培养的实时需求</w:t>
            </w:r>
          </w:p>
        </w:tc>
        <w:tc>
          <w:tcPr>
            <w:tcW w:w="1291"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教务处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restart"/>
            <w:vAlign w:val="center"/>
          </w:tcPr>
          <w:p>
            <w:pPr>
              <w:spacing w:line="260" w:lineRule="exact"/>
              <w:jc w:val="center"/>
              <w:rPr>
                <w:rFonts w:ascii="仿宋" w:hAnsi="仿宋" w:eastAsia="仿宋" w:cs="仿宋"/>
                <w:b/>
                <w:szCs w:val="21"/>
              </w:rPr>
            </w:pPr>
            <w:r>
              <w:rPr>
                <w:rFonts w:hint="eastAsia" w:ascii="仿宋" w:hAnsi="仿宋" w:eastAsia="仿宋" w:cs="仿宋"/>
                <w:b/>
                <w:szCs w:val="21"/>
              </w:rPr>
              <w:t>2024</w:t>
            </w:r>
          </w:p>
        </w:tc>
        <w:tc>
          <w:tcPr>
            <w:tcW w:w="1704" w:type="dxa"/>
            <w:vAlign w:val="center"/>
          </w:tcPr>
          <w:p>
            <w:pPr>
              <w:spacing w:line="260" w:lineRule="exact"/>
              <w:rPr>
                <w:rFonts w:ascii="仿宋" w:hAnsi="仿宋" w:eastAsia="仿宋" w:cs="仿宋"/>
                <w:bCs/>
                <w:szCs w:val="21"/>
              </w:rPr>
            </w:pPr>
            <w:r>
              <w:rPr>
                <w:rFonts w:hint="eastAsia" w:ascii="仿宋" w:hAnsi="仿宋" w:eastAsia="仿宋" w:cs="仿宋"/>
                <w:bCs/>
                <w:szCs w:val="21"/>
              </w:rPr>
              <w:t>构建服务“智能工厂”的专业集群</w:t>
            </w:r>
          </w:p>
        </w:tc>
        <w:tc>
          <w:tcPr>
            <w:tcW w:w="3631" w:type="dxa"/>
            <w:vAlign w:val="center"/>
          </w:tcPr>
          <w:p>
            <w:pPr>
              <w:spacing w:line="260" w:lineRule="exact"/>
              <w:rPr>
                <w:rFonts w:ascii="仿宋" w:hAnsi="仿宋" w:eastAsia="仿宋" w:cs="仿宋"/>
                <w:bCs/>
                <w:szCs w:val="21"/>
              </w:rPr>
            </w:pPr>
            <w:r>
              <w:rPr>
                <w:rFonts w:hint="eastAsia" w:ascii="仿宋" w:hAnsi="仿宋" w:eastAsia="仿宋" w:cs="仿宋"/>
                <w:bCs/>
                <w:szCs w:val="21"/>
              </w:rPr>
              <w:t>借助全国智能制造职教集团等产教融合平台，依托行业研究机构，深入制造行业企业一线，重点调研产业发展、产业布局、技术应用、人才结构、劳动组织、企业管理等对专业人才培养、教学改革和专业建设所产生的影响。</w:t>
            </w:r>
          </w:p>
        </w:tc>
        <w:tc>
          <w:tcPr>
            <w:tcW w:w="1291"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教务处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continue"/>
            <w:vAlign w:val="center"/>
          </w:tcPr>
          <w:p>
            <w:pPr>
              <w:spacing w:line="260" w:lineRule="exact"/>
              <w:jc w:val="center"/>
              <w:rPr>
                <w:rFonts w:ascii="仿宋" w:hAnsi="仿宋" w:eastAsia="仿宋" w:cs="仿宋"/>
                <w:b/>
                <w:szCs w:val="21"/>
              </w:rPr>
            </w:pPr>
          </w:p>
        </w:tc>
        <w:tc>
          <w:tcPr>
            <w:tcW w:w="1704" w:type="dxa"/>
            <w:vAlign w:val="center"/>
          </w:tcPr>
          <w:p>
            <w:pPr>
              <w:spacing w:line="260" w:lineRule="exact"/>
              <w:rPr>
                <w:rFonts w:ascii="仿宋" w:hAnsi="仿宋" w:eastAsia="仿宋" w:cs="仿宋"/>
                <w:bCs/>
                <w:szCs w:val="21"/>
              </w:rPr>
            </w:pPr>
            <w:r>
              <w:rPr>
                <w:rFonts w:hint="eastAsia" w:ascii="仿宋" w:hAnsi="仿宋" w:eastAsia="仿宋" w:cs="仿宋"/>
                <w:bCs/>
                <w:szCs w:val="21"/>
              </w:rPr>
              <w:t>创新专业群建设模式</w:t>
            </w:r>
          </w:p>
        </w:tc>
        <w:tc>
          <w:tcPr>
            <w:tcW w:w="3631" w:type="dxa"/>
            <w:vAlign w:val="center"/>
          </w:tcPr>
          <w:p>
            <w:pPr>
              <w:spacing w:line="260" w:lineRule="exact"/>
              <w:rPr>
                <w:rFonts w:ascii="仿宋" w:hAnsi="仿宋" w:eastAsia="仿宋" w:cs="仿宋"/>
                <w:bCs/>
                <w:szCs w:val="21"/>
              </w:rPr>
            </w:pPr>
            <w:r>
              <w:rPr>
                <w:rFonts w:hint="eastAsia" w:ascii="仿宋" w:hAnsi="仿宋" w:eastAsia="仿宋" w:cs="仿宋"/>
                <w:bCs/>
                <w:szCs w:val="21"/>
              </w:rPr>
              <w:t>依托“惠州新一代电子信息市域产教联合体”，建立“政校行企”联动机制，成立专业群建设指导委员会，跟踪区域经济和新技术发展，加强对区域人才需求的科学预测，适时动态调整和改造专业群，实现专业群与产业群有效对接。</w:t>
            </w:r>
          </w:p>
        </w:tc>
        <w:tc>
          <w:tcPr>
            <w:tcW w:w="1291"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教务处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continue"/>
            <w:vAlign w:val="center"/>
          </w:tcPr>
          <w:p>
            <w:pPr>
              <w:spacing w:line="260" w:lineRule="exact"/>
              <w:jc w:val="center"/>
              <w:rPr>
                <w:rFonts w:ascii="仿宋" w:hAnsi="仿宋" w:eastAsia="仿宋" w:cs="仿宋"/>
                <w:b/>
                <w:szCs w:val="21"/>
              </w:rPr>
            </w:pPr>
          </w:p>
        </w:tc>
        <w:tc>
          <w:tcPr>
            <w:tcW w:w="1704" w:type="dxa"/>
            <w:vAlign w:val="center"/>
          </w:tcPr>
          <w:p>
            <w:pPr>
              <w:spacing w:line="260" w:lineRule="exact"/>
              <w:rPr>
                <w:rFonts w:ascii="仿宋" w:hAnsi="仿宋" w:eastAsia="仿宋" w:cs="仿宋"/>
                <w:bCs/>
                <w:szCs w:val="21"/>
              </w:rPr>
            </w:pPr>
            <w:r>
              <w:rPr>
                <w:rFonts w:hint="eastAsia" w:ascii="仿宋" w:hAnsi="仿宋" w:eastAsia="仿宋" w:cs="仿宋"/>
                <w:bCs/>
                <w:szCs w:val="21"/>
              </w:rPr>
              <w:t>提升专业群建设内涵</w:t>
            </w:r>
          </w:p>
        </w:tc>
        <w:tc>
          <w:tcPr>
            <w:tcW w:w="3631" w:type="dxa"/>
            <w:vAlign w:val="center"/>
          </w:tcPr>
          <w:p>
            <w:pPr>
              <w:spacing w:line="260" w:lineRule="exact"/>
              <w:rPr>
                <w:rFonts w:ascii="仿宋" w:hAnsi="仿宋" w:eastAsia="仿宋" w:cs="仿宋"/>
                <w:bCs/>
                <w:szCs w:val="21"/>
              </w:rPr>
            </w:pPr>
            <w:r>
              <w:rPr>
                <w:rFonts w:hint="eastAsia" w:ascii="仿宋" w:hAnsi="仿宋" w:eastAsia="仿宋" w:cs="仿宋"/>
                <w:bCs/>
                <w:szCs w:val="21"/>
              </w:rPr>
              <w:t>以专业群为单位，按照“系统导向、功能复用、虚实结合、内外联动”思路，升级实训教学条件</w:t>
            </w:r>
          </w:p>
        </w:tc>
        <w:tc>
          <w:tcPr>
            <w:tcW w:w="1291"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教务处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continue"/>
            <w:vAlign w:val="center"/>
          </w:tcPr>
          <w:p>
            <w:pPr>
              <w:spacing w:line="260" w:lineRule="exact"/>
              <w:jc w:val="center"/>
              <w:rPr>
                <w:rFonts w:ascii="仿宋" w:hAnsi="仿宋" w:eastAsia="仿宋" w:cs="仿宋"/>
                <w:b/>
                <w:szCs w:val="21"/>
              </w:rPr>
            </w:pPr>
          </w:p>
        </w:tc>
        <w:tc>
          <w:tcPr>
            <w:tcW w:w="1704" w:type="dxa"/>
            <w:vAlign w:val="center"/>
          </w:tcPr>
          <w:p>
            <w:pPr>
              <w:spacing w:line="260" w:lineRule="exact"/>
              <w:rPr>
                <w:rFonts w:ascii="仿宋" w:hAnsi="仿宋" w:eastAsia="仿宋" w:cs="仿宋"/>
                <w:bCs/>
                <w:szCs w:val="21"/>
              </w:rPr>
            </w:pPr>
            <w:r>
              <w:rPr>
                <w:rFonts w:hint="eastAsia" w:ascii="仿宋" w:hAnsi="仿宋" w:eastAsia="仿宋" w:cs="仿宋"/>
                <w:bCs/>
                <w:szCs w:val="21"/>
              </w:rPr>
              <w:t>完善专业群动态调整机制</w:t>
            </w:r>
          </w:p>
        </w:tc>
        <w:tc>
          <w:tcPr>
            <w:tcW w:w="3631" w:type="dxa"/>
            <w:vAlign w:val="center"/>
          </w:tcPr>
          <w:p>
            <w:pPr>
              <w:spacing w:line="260" w:lineRule="exact"/>
              <w:rPr>
                <w:rFonts w:ascii="仿宋" w:hAnsi="仿宋" w:eastAsia="仿宋" w:cs="仿宋"/>
                <w:bCs/>
                <w:szCs w:val="21"/>
              </w:rPr>
            </w:pPr>
            <w:r>
              <w:rPr>
                <w:rFonts w:hint="eastAsia" w:ascii="仿宋" w:hAnsi="仿宋" w:eastAsia="仿宋" w:cs="仿宋"/>
                <w:bCs/>
                <w:szCs w:val="21"/>
              </w:rPr>
              <w:t>校企建立专业群“目标－标准－运行－诊断－改进”质量螺旋递进的常态化诊断改进机制，动态调整个性化人才培养方案</w:t>
            </w:r>
          </w:p>
        </w:tc>
        <w:tc>
          <w:tcPr>
            <w:tcW w:w="1291"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教务处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restart"/>
            <w:vAlign w:val="center"/>
          </w:tcPr>
          <w:p>
            <w:pPr>
              <w:spacing w:line="260" w:lineRule="exact"/>
              <w:jc w:val="center"/>
              <w:rPr>
                <w:rFonts w:ascii="仿宋" w:hAnsi="仿宋" w:eastAsia="仿宋" w:cs="仿宋"/>
                <w:b/>
                <w:szCs w:val="21"/>
              </w:rPr>
            </w:pPr>
            <w:r>
              <w:rPr>
                <w:rFonts w:hint="eastAsia" w:ascii="仿宋" w:hAnsi="仿宋" w:eastAsia="仿宋" w:cs="仿宋"/>
                <w:b/>
                <w:szCs w:val="21"/>
              </w:rPr>
              <w:t>2025</w:t>
            </w:r>
          </w:p>
        </w:tc>
        <w:tc>
          <w:tcPr>
            <w:tcW w:w="1704" w:type="dxa"/>
            <w:vAlign w:val="center"/>
          </w:tcPr>
          <w:p>
            <w:pPr>
              <w:spacing w:line="260" w:lineRule="exact"/>
              <w:rPr>
                <w:rFonts w:ascii="仿宋" w:hAnsi="仿宋" w:eastAsia="仿宋" w:cs="仿宋"/>
                <w:bCs/>
                <w:szCs w:val="21"/>
              </w:rPr>
            </w:pPr>
            <w:r>
              <w:rPr>
                <w:rFonts w:hint="eastAsia" w:ascii="仿宋" w:hAnsi="仿宋" w:eastAsia="仿宋" w:cs="仿宋"/>
                <w:bCs/>
                <w:szCs w:val="21"/>
              </w:rPr>
              <w:t>构建服务“智能工厂”的专业集群</w:t>
            </w:r>
          </w:p>
        </w:tc>
        <w:tc>
          <w:tcPr>
            <w:tcW w:w="3631" w:type="dxa"/>
            <w:vAlign w:val="center"/>
          </w:tcPr>
          <w:p>
            <w:pPr>
              <w:spacing w:line="260" w:lineRule="exact"/>
              <w:rPr>
                <w:rFonts w:ascii="仿宋" w:hAnsi="仿宋" w:eastAsia="仿宋" w:cs="仿宋"/>
                <w:bCs/>
                <w:szCs w:val="21"/>
              </w:rPr>
            </w:pPr>
            <w:r>
              <w:rPr>
                <w:rFonts w:hint="eastAsia" w:ascii="仿宋" w:hAnsi="仿宋" w:eastAsia="仿宋" w:cs="仿宋"/>
                <w:bCs/>
                <w:szCs w:val="21"/>
              </w:rPr>
              <w:t>重点建设四个集人才培养、科研创新、科技服务、继续教育与培训为一体，以智能制造为特色、对接区域产业发展的智能制造专业群</w:t>
            </w:r>
          </w:p>
        </w:tc>
        <w:tc>
          <w:tcPr>
            <w:tcW w:w="1291"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教务处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continue"/>
            <w:vAlign w:val="center"/>
          </w:tcPr>
          <w:p>
            <w:pPr>
              <w:spacing w:line="260" w:lineRule="exact"/>
              <w:jc w:val="center"/>
              <w:rPr>
                <w:rFonts w:ascii="仿宋" w:hAnsi="仿宋" w:eastAsia="仿宋" w:cs="仿宋"/>
                <w:bCs/>
                <w:szCs w:val="21"/>
              </w:rPr>
            </w:pPr>
          </w:p>
        </w:tc>
        <w:tc>
          <w:tcPr>
            <w:tcW w:w="1704" w:type="dxa"/>
            <w:vAlign w:val="center"/>
          </w:tcPr>
          <w:p>
            <w:pPr>
              <w:spacing w:line="260" w:lineRule="exact"/>
              <w:rPr>
                <w:rFonts w:ascii="仿宋" w:hAnsi="仿宋" w:eastAsia="仿宋" w:cs="仿宋"/>
                <w:bCs/>
                <w:szCs w:val="21"/>
              </w:rPr>
            </w:pPr>
            <w:r>
              <w:rPr>
                <w:rFonts w:hint="eastAsia" w:ascii="仿宋" w:hAnsi="仿宋" w:eastAsia="仿宋" w:cs="仿宋"/>
                <w:bCs/>
                <w:szCs w:val="21"/>
              </w:rPr>
              <w:t>创新专业群建设模式</w:t>
            </w:r>
          </w:p>
        </w:tc>
        <w:tc>
          <w:tcPr>
            <w:tcW w:w="3631" w:type="dxa"/>
            <w:vAlign w:val="center"/>
          </w:tcPr>
          <w:p>
            <w:pPr>
              <w:spacing w:line="260" w:lineRule="exact"/>
              <w:rPr>
                <w:rFonts w:ascii="仿宋" w:hAnsi="仿宋" w:eastAsia="仿宋" w:cs="仿宋"/>
                <w:bCs/>
                <w:szCs w:val="21"/>
              </w:rPr>
            </w:pPr>
            <w:r>
              <w:rPr>
                <w:rFonts w:hint="eastAsia" w:ascii="仿宋" w:hAnsi="仿宋" w:eastAsia="仿宋" w:cs="仿宋"/>
                <w:bCs/>
                <w:szCs w:val="21"/>
              </w:rPr>
              <w:t>以“新业态、新业务、新场景”为指向，精准对接智能制造服务业，精准对接数字化营销、数字化管理、金融科技数字化岗位群，创新“大类培养、个性发展”的人才培养模式</w:t>
            </w:r>
          </w:p>
        </w:tc>
        <w:tc>
          <w:tcPr>
            <w:tcW w:w="1291"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教务处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continue"/>
            <w:vAlign w:val="center"/>
          </w:tcPr>
          <w:p>
            <w:pPr>
              <w:spacing w:line="260" w:lineRule="exact"/>
              <w:jc w:val="center"/>
              <w:rPr>
                <w:rFonts w:ascii="仿宋" w:hAnsi="仿宋" w:eastAsia="仿宋" w:cs="仿宋"/>
                <w:bCs/>
                <w:szCs w:val="21"/>
              </w:rPr>
            </w:pPr>
          </w:p>
        </w:tc>
        <w:tc>
          <w:tcPr>
            <w:tcW w:w="1704" w:type="dxa"/>
            <w:vAlign w:val="center"/>
          </w:tcPr>
          <w:p>
            <w:pPr>
              <w:spacing w:line="260" w:lineRule="exact"/>
              <w:rPr>
                <w:rFonts w:ascii="仿宋" w:hAnsi="仿宋" w:eastAsia="仿宋" w:cs="仿宋"/>
                <w:bCs/>
                <w:szCs w:val="21"/>
              </w:rPr>
            </w:pPr>
            <w:r>
              <w:rPr>
                <w:rFonts w:hint="eastAsia" w:ascii="仿宋" w:hAnsi="仿宋" w:eastAsia="仿宋" w:cs="仿宋"/>
                <w:bCs/>
                <w:szCs w:val="21"/>
              </w:rPr>
              <w:t>提升专业群建设内涵</w:t>
            </w:r>
          </w:p>
        </w:tc>
        <w:tc>
          <w:tcPr>
            <w:tcW w:w="3631" w:type="dxa"/>
            <w:vAlign w:val="center"/>
          </w:tcPr>
          <w:p>
            <w:pPr>
              <w:spacing w:line="260" w:lineRule="exact"/>
              <w:rPr>
                <w:rFonts w:ascii="仿宋" w:hAnsi="仿宋" w:eastAsia="仿宋" w:cs="仿宋"/>
                <w:bCs/>
                <w:szCs w:val="21"/>
              </w:rPr>
            </w:pPr>
            <w:r>
              <w:rPr>
                <w:rFonts w:hint="eastAsia" w:ascii="仿宋" w:hAnsi="仿宋" w:eastAsia="仿宋" w:cs="仿宋"/>
                <w:bCs/>
                <w:szCs w:val="21"/>
              </w:rPr>
              <w:t>开展“动课工程”，以课堂教学为着力点，推进“三教”改革</w:t>
            </w:r>
          </w:p>
        </w:tc>
        <w:tc>
          <w:tcPr>
            <w:tcW w:w="1291"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教务处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continue"/>
            <w:vAlign w:val="center"/>
          </w:tcPr>
          <w:p>
            <w:pPr>
              <w:spacing w:line="260" w:lineRule="exact"/>
              <w:jc w:val="center"/>
              <w:rPr>
                <w:rFonts w:ascii="仿宋" w:hAnsi="仿宋" w:eastAsia="仿宋" w:cs="仿宋"/>
                <w:bCs/>
                <w:szCs w:val="21"/>
              </w:rPr>
            </w:pPr>
          </w:p>
        </w:tc>
        <w:tc>
          <w:tcPr>
            <w:tcW w:w="1704" w:type="dxa"/>
            <w:vAlign w:val="center"/>
          </w:tcPr>
          <w:p>
            <w:pPr>
              <w:spacing w:line="260" w:lineRule="exact"/>
              <w:rPr>
                <w:rFonts w:ascii="仿宋" w:hAnsi="仿宋" w:eastAsia="仿宋" w:cs="仿宋"/>
                <w:bCs/>
                <w:szCs w:val="21"/>
              </w:rPr>
            </w:pPr>
            <w:r>
              <w:rPr>
                <w:rFonts w:hint="eastAsia" w:ascii="仿宋" w:hAnsi="仿宋" w:eastAsia="仿宋" w:cs="仿宋"/>
                <w:bCs/>
                <w:szCs w:val="21"/>
              </w:rPr>
              <w:t>完善专业群动态调整机制</w:t>
            </w:r>
          </w:p>
        </w:tc>
        <w:tc>
          <w:tcPr>
            <w:tcW w:w="3631" w:type="dxa"/>
            <w:vAlign w:val="center"/>
          </w:tcPr>
          <w:p>
            <w:pPr>
              <w:spacing w:line="260" w:lineRule="exact"/>
              <w:rPr>
                <w:rFonts w:ascii="仿宋" w:hAnsi="仿宋" w:eastAsia="仿宋" w:cs="仿宋"/>
                <w:bCs/>
                <w:szCs w:val="21"/>
              </w:rPr>
            </w:pPr>
            <w:r>
              <w:rPr>
                <w:rFonts w:hint="eastAsia" w:ascii="仿宋" w:hAnsi="仿宋" w:eastAsia="仿宋" w:cs="仿宋"/>
                <w:bCs/>
                <w:szCs w:val="21"/>
              </w:rPr>
              <w:t>动态实施平台建设和人才培养，从政策、经费、组织推动教育链与产业链融合，实现人才成长和队伍完善</w:t>
            </w:r>
          </w:p>
        </w:tc>
        <w:tc>
          <w:tcPr>
            <w:tcW w:w="1291"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教务处</w:t>
            </w:r>
          </w:p>
        </w:tc>
      </w:tr>
    </w:tbl>
    <w:p>
      <w:pPr>
        <w:keepNext/>
        <w:keepLines/>
        <w:spacing w:line="540" w:lineRule="exact"/>
        <w:ind w:firstLine="562" w:firstLineChars="200"/>
        <w:outlineLvl w:val="3"/>
        <w:rPr>
          <w:rFonts w:ascii="Times New Roman" w:hAnsi="Times New Roman" w:eastAsia="仿宋"/>
          <w:b/>
          <w:sz w:val="28"/>
          <w:szCs w:val="28"/>
        </w:rPr>
      </w:pPr>
      <w:r>
        <w:rPr>
          <w:rFonts w:hint="eastAsia" w:ascii="Times New Roman" w:hAnsi="Times New Roman" w:eastAsia="仿宋"/>
          <w:b/>
          <w:sz w:val="28"/>
          <w:szCs w:val="28"/>
        </w:rPr>
        <w:t>（6）预期成效及资金测算</w:t>
      </w:r>
    </w:p>
    <w:tbl>
      <w:tblPr>
        <w:tblStyle w:val="16"/>
        <w:tblW w:w="0" w:type="auto"/>
        <w:jc w:val="center"/>
        <w:tblLayout w:type="autofit"/>
        <w:tblCellMar>
          <w:top w:w="15" w:type="dxa"/>
          <w:left w:w="15" w:type="dxa"/>
          <w:bottom w:w="15" w:type="dxa"/>
          <w:right w:w="15" w:type="dxa"/>
        </w:tblCellMar>
      </w:tblPr>
      <w:tblGrid>
        <w:gridCol w:w="888"/>
        <w:gridCol w:w="2238"/>
        <w:gridCol w:w="3716"/>
        <w:gridCol w:w="498"/>
        <w:gridCol w:w="498"/>
        <w:gridCol w:w="498"/>
      </w:tblGrid>
      <w:tr>
        <w:tblPrEx>
          <w:tblCellMar>
            <w:top w:w="15" w:type="dxa"/>
            <w:left w:w="15" w:type="dxa"/>
            <w:bottom w:w="15" w:type="dxa"/>
            <w:right w:w="15" w:type="dxa"/>
          </w:tblCellMar>
        </w:tblPrEx>
        <w:trPr>
          <w:trHeight w:val="301" w:hRule="atLeast"/>
          <w:jc w:val="center"/>
        </w:trPr>
        <w:tc>
          <w:tcPr>
            <w:tcW w:w="888" w:type="dxa"/>
            <w:vMerge w:val="restart"/>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项目名称</w:t>
            </w:r>
          </w:p>
        </w:tc>
        <w:tc>
          <w:tcPr>
            <w:tcW w:w="2238" w:type="dxa"/>
            <w:vMerge w:val="restart"/>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主要建设内容</w:t>
            </w:r>
          </w:p>
        </w:tc>
        <w:tc>
          <w:tcPr>
            <w:tcW w:w="3716" w:type="dxa"/>
            <w:vMerge w:val="restart"/>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预期建设成效</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建设资金安排表（万元）</w:t>
            </w:r>
          </w:p>
        </w:tc>
      </w:tr>
      <w:tr>
        <w:tblPrEx>
          <w:tblCellMar>
            <w:top w:w="15" w:type="dxa"/>
            <w:left w:w="15" w:type="dxa"/>
            <w:bottom w:w="15" w:type="dxa"/>
            <w:right w:w="15" w:type="dxa"/>
          </w:tblCellMar>
        </w:tblPrEx>
        <w:trPr>
          <w:trHeight w:val="286" w:hRule="atLeast"/>
          <w:jc w:val="center"/>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jc w:val="center"/>
              <w:rPr>
                <w:rFonts w:ascii="仿宋" w:hAnsi="仿宋" w:eastAsia="仿宋" w:cs="仿宋"/>
                <w:b/>
                <w:bCs/>
                <w:color w:val="000000"/>
                <w:szCs w:val="21"/>
              </w:rPr>
            </w:pPr>
          </w:p>
        </w:tc>
        <w:tc>
          <w:tcPr>
            <w:tcW w:w="2238" w:type="dxa"/>
            <w:vMerge w:val="continue"/>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jc w:val="center"/>
              <w:rPr>
                <w:rFonts w:ascii="仿宋" w:hAnsi="仿宋" w:eastAsia="仿宋" w:cs="仿宋"/>
                <w:b/>
                <w:bCs/>
                <w:color w:val="000000"/>
                <w:szCs w:val="21"/>
              </w:rPr>
            </w:pPr>
          </w:p>
        </w:tc>
        <w:tc>
          <w:tcPr>
            <w:tcW w:w="3716" w:type="dxa"/>
            <w:vMerge w:val="continue"/>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jc w:val="center"/>
              <w:rPr>
                <w:rFonts w:ascii="仿宋" w:hAnsi="仿宋" w:eastAsia="仿宋" w:cs="仿宋"/>
                <w:b/>
                <w:bCs/>
                <w:color w:val="000000"/>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kern w:val="0"/>
                <w:szCs w:val="21"/>
                <w:lang w:bidi="ar"/>
              </w:rPr>
            </w:pPr>
            <w:r>
              <w:rPr>
                <w:rFonts w:hint="eastAsia" w:ascii="仿宋" w:hAnsi="仿宋" w:eastAsia="仿宋" w:cs="仿宋"/>
                <w:b/>
                <w:bCs/>
                <w:color w:val="000000"/>
                <w:kern w:val="0"/>
                <w:szCs w:val="21"/>
                <w:lang w:bidi="ar"/>
              </w:rPr>
              <w:t>2023年</w:t>
            </w:r>
          </w:p>
        </w:tc>
        <w:tc>
          <w:tcPr>
            <w:tcW w:w="0" w:type="auto"/>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2024年</w:t>
            </w:r>
          </w:p>
        </w:tc>
        <w:tc>
          <w:tcPr>
            <w:tcW w:w="0" w:type="auto"/>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2025年</w:t>
            </w:r>
          </w:p>
        </w:tc>
      </w:tr>
      <w:tr>
        <w:tblPrEx>
          <w:tblCellMar>
            <w:top w:w="15" w:type="dxa"/>
            <w:left w:w="15" w:type="dxa"/>
            <w:bottom w:w="15" w:type="dxa"/>
            <w:right w:w="15" w:type="dxa"/>
          </w:tblCellMar>
        </w:tblPrEx>
        <w:trPr>
          <w:trHeight w:val="450" w:hRule="atLeast"/>
          <w:jc w:val="center"/>
        </w:trPr>
        <w:tc>
          <w:tcPr>
            <w:tcW w:w="888"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Cs w:val="21"/>
              </w:rPr>
            </w:pPr>
            <w:r>
              <w:rPr>
                <w:rFonts w:hint="eastAsia" w:ascii="仿宋" w:hAnsi="仿宋" w:eastAsia="仿宋" w:cs="仿宋"/>
                <w:b/>
                <w:bCs/>
                <w:color w:val="000000"/>
                <w:szCs w:val="21"/>
              </w:rPr>
              <w:t>高水平专业群建设项目</w:t>
            </w:r>
          </w:p>
        </w:tc>
        <w:tc>
          <w:tcPr>
            <w:tcW w:w="2238"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仿宋"/>
                <w:color w:val="000000"/>
                <w:szCs w:val="21"/>
              </w:rPr>
            </w:pPr>
            <w:r>
              <w:rPr>
                <w:rFonts w:hint="eastAsia" w:ascii="仿宋" w:hAnsi="仿宋" w:eastAsia="仿宋" w:cs="仿宋"/>
                <w:color w:val="000000"/>
                <w:szCs w:val="21"/>
              </w:rPr>
              <w:t>构建服务“智能工厂”的专业集群；</w:t>
            </w:r>
            <w:r>
              <w:rPr>
                <w:rFonts w:hint="eastAsia" w:ascii="仿宋" w:hAnsi="仿宋" w:eastAsia="仿宋" w:cs="仿宋"/>
                <w:szCs w:val="21"/>
              </w:rPr>
              <w:t xml:space="preserve"> </w:t>
            </w:r>
            <w:r>
              <w:rPr>
                <w:rFonts w:hint="eastAsia" w:ascii="仿宋" w:hAnsi="仿宋" w:eastAsia="仿宋" w:cs="仿宋"/>
                <w:color w:val="000000"/>
                <w:szCs w:val="21"/>
              </w:rPr>
              <w:t>创新专业群建设模式；</w:t>
            </w:r>
            <w:r>
              <w:rPr>
                <w:rFonts w:hint="eastAsia" w:ascii="仿宋" w:hAnsi="仿宋" w:eastAsia="仿宋" w:cs="仿宋"/>
                <w:szCs w:val="21"/>
              </w:rPr>
              <w:t xml:space="preserve"> </w:t>
            </w:r>
            <w:r>
              <w:rPr>
                <w:rFonts w:hint="eastAsia" w:ascii="仿宋" w:hAnsi="仿宋" w:eastAsia="仿宋" w:cs="仿宋"/>
                <w:color w:val="000000"/>
                <w:szCs w:val="21"/>
              </w:rPr>
              <w:t>提升专业群建设内涵；</w:t>
            </w:r>
            <w:r>
              <w:rPr>
                <w:rFonts w:hint="eastAsia" w:ascii="仿宋" w:hAnsi="仿宋" w:eastAsia="仿宋" w:cs="仿宋"/>
                <w:szCs w:val="21"/>
              </w:rPr>
              <w:t xml:space="preserve"> </w:t>
            </w:r>
            <w:r>
              <w:rPr>
                <w:rFonts w:hint="eastAsia" w:ascii="仿宋" w:hAnsi="仿宋" w:eastAsia="仿宋" w:cs="仿宋"/>
                <w:color w:val="000000"/>
                <w:szCs w:val="21"/>
              </w:rPr>
              <w:t>完善专业群动态调整机制</w:t>
            </w:r>
          </w:p>
        </w:tc>
        <w:tc>
          <w:tcPr>
            <w:tcW w:w="3716"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仿宋"/>
                <w:color w:val="000000"/>
                <w:szCs w:val="21"/>
              </w:rPr>
            </w:pPr>
            <w:r>
              <w:rPr>
                <w:rFonts w:hint="eastAsia" w:ascii="仿宋" w:hAnsi="仿宋" w:eastAsia="仿宋" w:cs="仿宋"/>
                <w:color w:val="000000"/>
                <w:szCs w:val="21"/>
              </w:rPr>
              <w:t>顺利完成2个省级专业群验收。完善专业群动态调整机制，新增1个校级专业群。</w:t>
            </w:r>
            <w:bookmarkStart w:id="49" w:name="_Hlk160029749"/>
            <w:r>
              <w:rPr>
                <w:rFonts w:hint="eastAsia" w:ascii="仿宋" w:hAnsi="仿宋" w:eastAsia="仿宋" w:cs="仿宋"/>
                <w:color w:val="000000"/>
                <w:szCs w:val="21"/>
              </w:rPr>
              <w:t>建成省级教学资源库2个，认定省级在线精品开放课程3门，</w:t>
            </w:r>
            <w:bookmarkEnd w:id="49"/>
            <w:bookmarkStart w:id="50" w:name="_Hlk160029721"/>
            <w:r>
              <w:rPr>
                <w:rFonts w:hint="eastAsia" w:ascii="仿宋" w:hAnsi="仿宋" w:eastAsia="仿宋" w:cs="仿宋"/>
                <w:color w:val="000000"/>
                <w:szCs w:val="21"/>
              </w:rPr>
              <w:t>出版3部电子教材，认定2部省级规划教材，</w:t>
            </w:r>
            <w:bookmarkEnd w:id="50"/>
            <w:r>
              <w:rPr>
                <w:rFonts w:hint="eastAsia" w:ascii="仿宋" w:hAnsi="仿宋" w:eastAsia="仿宋" w:cs="仿宋"/>
                <w:color w:val="000000"/>
                <w:szCs w:val="21"/>
              </w:rPr>
              <w:t>开发110门模块化课程。人才培养质量诊断改进方案学习调研5次，修订专业群预算支出管理办法，督查专项经费使用执行情况，专业群可持续发展经验总结与推广。</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Cs w:val="21"/>
              </w:rPr>
            </w:pPr>
            <w:r>
              <w:rPr>
                <w:rFonts w:hint="eastAsia" w:ascii="仿宋" w:hAnsi="仿宋" w:eastAsia="仿宋" w:cs="仿宋"/>
                <w:color w:val="000000"/>
                <w:szCs w:val="21"/>
              </w:rPr>
              <w:t>300</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Cs w:val="21"/>
              </w:rPr>
            </w:pPr>
            <w:r>
              <w:rPr>
                <w:rFonts w:hint="eastAsia" w:ascii="仿宋" w:hAnsi="仿宋" w:eastAsia="仿宋" w:cs="仿宋"/>
                <w:color w:val="000000"/>
                <w:szCs w:val="21"/>
              </w:rPr>
              <w:t>282</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Cs w:val="21"/>
              </w:rPr>
            </w:pPr>
            <w:r>
              <w:rPr>
                <w:rFonts w:hint="eastAsia" w:ascii="仿宋" w:hAnsi="仿宋" w:eastAsia="仿宋" w:cs="仿宋"/>
                <w:color w:val="000000"/>
                <w:szCs w:val="21"/>
              </w:rPr>
              <w:t>300</w:t>
            </w:r>
          </w:p>
        </w:tc>
      </w:tr>
      <w:bookmarkEnd w:id="48"/>
    </w:tbl>
    <w:p/>
    <w:p>
      <w:pPr>
        <w:pStyle w:val="4"/>
      </w:pPr>
      <w:bookmarkStart w:id="51" w:name="_Toc164347842"/>
      <w:r>
        <w:rPr>
          <w:rFonts w:hint="eastAsia"/>
        </w:rPr>
        <w:t>5. 1+X证书制度试点项目</w:t>
      </w:r>
      <w:bookmarkEnd w:id="51"/>
    </w:p>
    <w:p>
      <w:pPr>
        <w:keepNext/>
        <w:keepLines/>
        <w:spacing w:line="540" w:lineRule="exact"/>
        <w:ind w:firstLine="562" w:firstLineChars="200"/>
        <w:outlineLvl w:val="3"/>
        <w:rPr>
          <w:rFonts w:ascii="Times New Roman" w:hAnsi="Times New Roman" w:eastAsia="仿宋"/>
          <w:b/>
          <w:sz w:val="28"/>
          <w:szCs w:val="28"/>
        </w:rPr>
      </w:pPr>
      <w:r>
        <w:rPr>
          <w:rFonts w:hint="eastAsia" w:ascii="Times New Roman" w:hAnsi="Times New Roman" w:eastAsia="仿宋"/>
          <w:b/>
          <w:sz w:val="28"/>
          <w:szCs w:val="28"/>
        </w:rPr>
        <w:t>（1）必要性和可行性</w:t>
      </w:r>
    </w:p>
    <w:p>
      <w:pPr>
        <w:spacing w:line="540" w:lineRule="exact"/>
        <w:ind w:firstLine="560" w:firstLineChars="200"/>
        <w:rPr>
          <w:rFonts w:ascii="仿宋" w:hAnsi="仿宋" w:eastAsia="仿宋"/>
          <w:sz w:val="28"/>
          <w:szCs w:val="28"/>
        </w:rPr>
      </w:pPr>
      <w:r>
        <w:rPr>
          <w:rFonts w:ascii="仿宋" w:hAnsi="仿宋" w:eastAsia="仿宋"/>
          <w:sz w:val="28"/>
          <w:szCs w:val="28"/>
        </w:rPr>
        <w:t>1+X证书制度作为一项重大改革举措和制度设计</w:t>
      </w:r>
      <w:r>
        <w:rPr>
          <w:rFonts w:hint="eastAsia" w:ascii="仿宋" w:hAnsi="仿宋" w:eastAsia="仿宋"/>
          <w:sz w:val="28"/>
          <w:szCs w:val="28"/>
        </w:rPr>
        <w:t>，高职院校</w:t>
      </w:r>
      <w:r>
        <w:rPr>
          <w:rFonts w:ascii="仿宋" w:hAnsi="仿宋" w:eastAsia="仿宋"/>
          <w:sz w:val="28"/>
          <w:szCs w:val="28"/>
        </w:rPr>
        <w:t>全面贯彻党的教育方针，落实立德树人根本任务，是培养德智体美劳全面发展的高素质劳动者和技术技能人才的主渠道，学历证书全面反映学校教育的人才培养质量，在国家人力资源开发中起着不可或缺的基础性作用。职业技能等级证书是毕业生社会成员职业技能水平的凭证，反映职业活动和个人职业生涯发展所需要的综合能力。</w:t>
      </w:r>
      <w:r>
        <w:rPr>
          <w:rFonts w:hint="eastAsia" w:ascii="仿宋" w:hAnsi="仿宋" w:eastAsia="仿宋"/>
          <w:sz w:val="28"/>
          <w:szCs w:val="28"/>
        </w:rPr>
        <w:t>深入推进证书内容融入专业课程，进一步优化课程体系。</w:t>
      </w:r>
    </w:p>
    <w:p>
      <w:pPr>
        <w:spacing w:line="540" w:lineRule="exact"/>
        <w:ind w:firstLine="560" w:firstLineChars="200"/>
        <w:rPr>
          <w:rFonts w:ascii="仿宋" w:hAnsi="仿宋" w:eastAsia="仿宋"/>
          <w:sz w:val="28"/>
          <w:szCs w:val="28"/>
        </w:rPr>
      </w:pPr>
      <w:r>
        <w:rPr>
          <w:rFonts w:hint="eastAsia" w:ascii="仿宋" w:hAnsi="仿宋" w:eastAsia="仿宋"/>
          <w:sz w:val="28"/>
          <w:szCs w:val="28"/>
        </w:rPr>
        <w:t>我校积极开展1+X证书试点制度，统筹证</w:t>
      </w:r>
      <w:r>
        <w:rPr>
          <w:rFonts w:ascii="仿宋" w:hAnsi="仿宋" w:eastAsia="仿宋"/>
          <w:sz w:val="28"/>
          <w:szCs w:val="28"/>
        </w:rPr>
        <w:t>书培训、课证融通、师资培训、考点建设</w:t>
      </w:r>
      <w:r>
        <w:rPr>
          <w:rFonts w:hint="eastAsia" w:ascii="仿宋" w:hAnsi="仿宋" w:eastAsia="仿宋"/>
          <w:sz w:val="28"/>
          <w:szCs w:val="28"/>
        </w:rPr>
        <w:t>等各方面工作，试点工作受到广东省1+X证书制度试点办公室的实地调研肯定，为更大范围开展1+X证书试点和推广提供可能。</w:t>
      </w:r>
    </w:p>
    <w:p>
      <w:pPr>
        <w:keepNext/>
        <w:keepLines/>
        <w:spacing w:line="540" w:lineRule="exact"/>
        <w:ind w:firstLine="562" w:firstLineChars="200"/>
        <w:outlineLvl w:val="3"/>
        <w:rPr>
          <w:rFonts w:ascii="Times New Roman" w:hAnsi="Times New Roman" w:eastAsia="仿宋"/>
          <w:b/>
          <w:sz w:val="28"/>
          <w:szCs w:val="28"/>
        </w:rPr>
      </w:pPr>
      <w:r>
        <w:rPr>
          <w:rFonts w:hint="eastAsia" w:ascii="Times New Roman" w:hAnsi="Times New Roman" w:eastAsia="仿宋"/>
          <w:b/>
          <w:sz w:val="28"/>
          <w:szCs w:val="28"/>
        </w:rPr>
        <w:t>（2）拟解决的关键问题</w:t>
      </w:r>
    </w:p>
    <w:p>
      <w:pPr>
        <w:spacing w:line="540" w:lineRule="exact"/>
        <w:ind w:firstLine="560" w:firstLineChars="200"/>
        <w:rPr>
          <w:rFonts w:ascii="仿宋" w:hAnsi="仿宋" w:eastAsia="仿宋"/>
          <w:sz w:val="28"/>
          <w:szCs w:val="28"/>
        </w:rPr>
      </w:pPr>
      <w:r>
        <w:rPr>
          <w:rFonts w:ascii="仿宋" w:hAnsi="仿宋" w:eastAsia="仿宋"/>
          <w:sz w:val="28"/>
          <w:szCs w:val="28"/>
        </w:rPr>
        <w:t>全面完善1+X证书的配套制度，建立学分银行制度、学分互认制等，使人才培养的学历教育与技能培养之间打开通道、搭建桥梁</w:t>
      </w:r>
      <w:r>
        <w:rPr>
          <w:rFonts w:hint="eastAsia" w:ascii="仿宋" w:hAnsi="仿宋" w:eastAsia="仿宋"/>
          <w:sz w:val="28"/>
          <w:szCs w:val="28"/>
        </w:rPr>
        <w:t>；</w:t>
      </w:r>
      <w:r>
        <w:rPr>
          <w:rFonts w:ascii="仿宋" w:hAnsi="仿宋" w:eastAsia="仿宋"/>
          <w:sz w:val="28"/>
          <w:szCs w:val="28"/>
        </w:rPr>
        <w:t xml:space="preserve"> 联合研究机构、第三方机构及企业，开发职业技能等级标准，</w:t>
      </w:r>
      <w:r>
        <w:rPr>
          <w:rFonts w:hint="eastAsia" w:ascii="仿宋" w:hAnsi="仿宋" w:eastAsia="仿宋"/>
          <w:sz w:val="28"/>
          <w:szCs w:val="28"/>
        </w:rPr>
        <w:t>力争新增参与开发5</w:t>
      </w:r>
      <w:r>
        <w:rPr>
          <w:rFonts w:ascii="仿宋" w:hAnsi="仿宋" w:eastAsia="仿宋"/>
          <w:sz w:val="28"/>
          <w:szCs w:val="28"/>
        </w:rPr>
        <w:t>个职业技能等级标准；各专业群对接职业技能等级标准，进行课程设计，实现课证融通</w:t>
      </w:r>
      <w:r>
        <w:rPr>
          <w:rFonts w:hint="eastAsia" w:ascii="仿宋" w:hAnsi="仿宋" w:eastAsia="仿宋"/>
          <w:sz w:val="28"/>
          <w:szCs w:val="28"/>
        </w:rPr>
        <w:t>；</w:t>
      </w:r>
      <w:r>
        <w:rPr>
          <w:rFonts w:ascii="仿宋" w:hAnsi="仿宋" w:eastAsia="仿宋"/>
          <w:sz w:val="28"/>
          <w:szCs w:val="28"/>
        </w:rPr>
        <w:t xml:space="preserve"> 全面发挥学校的育人与培训的优势，主动与职业教育培训评价组织开展合作，通过建立标准与完备的软硬件条件，在5个专业群中构建职业技能等级证书培训与评价的</w:t>
      </w:r>
      <w:r>
        <w:rPr>
          <w:rFonts w:hint="eastAsia" w:ascii="仿宋" w:hAnsi="仿宋" w:eastAsia="仿宋"/>
          <w:sz w:val="28"/>
          <w:szCs w:val="28"/>
        </w:rPr>
        <w:t>省</w:t>
      </w:r>
      <w:r>
        <w:rPr>
          <w:rFonts w:ascii="仿宋" w:hAnsi="仿宋" w:eastAsia="仿宋"/>
          <w:sz w:val="28"/>
          <w:szCs w:val="28"/>
        </w:rPr>
        <w:t>级基地。</w:t>
      </w:r>
    </w:p>
    <w:p>
      <w:pPr>
        <w:keepNext/>
        <w:keepLines/>
        <w:spacing w:line="540" w:lineRule="exact"/>
        <w:ind w:firstLine="562" w:firstLineChars="200"/>
        <w:outlineLvl w:val="3"/>
        <w:rPr>
          <w:rFonts w:ascii="Times New Roman" w:hAnsi="Times New Roman" w:eastAsia="仿宋"/>
          <w:b/>
          <w:sz w:val="28"/>
          <w:szCs w:val="28"/>
        </w:rPr>
      </w:pPr>
      <w:r>
        <w:rPr>
          <w:rFonts w:hint="eastAsia" w:ascii="Times New Roman" w:hAnsi="Times New Roman" w:eastAsia="仿宋"/>
          <w:b/>
          <w:sz w:val="28"/>
          <w:szCs w:val="28"/>
        </w:rPr>
        <w:t>（3）建设目标</w:t>
      </w:r>
    </w:p>
    <w:p>
      <w:pPr>
        <w:spacing w:line="540" w:lineRule="exact"/>
        <w:ind w:firstLine="560" w:firstLineChars="200"/>
        <w:rPr>
          <w:rFonts w:ascii="仿宋" w:hAnsi="仿宋" w:eastAsia="仿宋"/>
          <w:sz w:val="28"/>
          <w:szCs w:val="28"/>
        </w:rPr>
      </w:pPr>
      <w:r>
        <w:rPr>
          <w:rFonts w:ascii="仿宋" w:hAnsi="仿宋" w:eastAsia="仿宋"/>
          <w:sz w:val="28"/>
          <w:szCs w:val="28"/>
        </w:rPr>
        <w:t>做好“1”与“X”的有机衔接，将证书培训内容及要求有机融入专业人才培养方案，融入课程和教学内容</w:t>
      </w:r>
      <w:r>
        <w:rPr>
          <w:rFonts w:hint="eastAsia" w:ascii="仿宋" w:hAnsi="仿宋" w:eastAsia="仿宋"/>
          <w:sz w:val="28"/>
          <w:szCs w:val="28"/>
        </w:rPr>
        <w:t>，各专业优化“书证融通”的课程体系，完善校级“学分银行”建设成效，推进2个多证书评价综合基地建设。到2</w:t>
      </w:r>
      <w:r>
        <w:rPr>
          <w:rFonts w:ascii="仿宋" w:hAnsi="仿宋" w:eastAsia="仿宋"/>
          <w:sz w:val="28"/>
          <w:szCs w:val="28"/>
        </w:rPr>
        <w:t>025</w:t>
      </w:r>
      <w:r>
        <w:rPr>
          <w:rFonts w:hint="eastAsia" w:ascii="仿宋" w:hAnsi="仿宋" w:eastAsia="仿宋"/>
          <w:sz w:val="28"/>
          <w:szCs w:val="28"/>
        </w:rPr>
        <w:t>年实现专业群课程体系1</w:t>
      </w:r>
      <w:r>
        <w:rPr>
          <w:rFonts w:ascii="仿宋" w:hAnsi="仿宋" w:eastAsia="仿宋"/>
          <w:sz w:val="28"/>
          <w:szCs w:val="28"/>
        </w:rPr>
        <w:t>00%</w:t>
      </w:r>
      <w:r>
        <w:rPr>
          <w:rFonts w:hint="eastAsia" w:ascii="仿宋" w:hAnsi="仿宋" w:eastAsia="仿宋"/>
          <w:sz w:val="28"/>
          <w:szCs w:val="28"/>
        </w:rPr>
        <w:t>做到书证融通，形成一套完善的“学分银行”体系，1</w:t>
      </w:r>
      <w:r>
        <w:rPr>
          <w:rFonts w:ascii="仿宋" w:hAnsi="仿宋" w:eastAsia="仿宋"/>
          <w:sz w:val="28"/>
          <w:szCs w:val="28"/>
        </w:rPr>
        <w:t>+X</w:t>
      </w:r>
      <w:r>
        <w:rPr>
          <w:rFonts w:hint="eastAsia" w:ascii="仿宋" w:hAnsi="仿宋" w:eastAsia="仿宋"/>
          <w:sz w:val="28"/>
          <w:szCs w:val="28"/>
        </w:rPr>
        <w:t>证书</w:t>
      </w:r>
      <w:r>
        <w:rPr>
          <w:rFonts w:ascii="仿宋" w:hAnsi="仿宋" w:eastAsia="仿宋"/>
          <w:sz w:val="28"/>
          <w:szCs w:val="28"/>
        </w:rPr>
        <w:t>试点专业毕业生多技能证书获取率超过</w:t>
      </w:r>
      <w:r>
        <w:rPr>
          <w:rFonts w:hint="eastAsia" w:ascii="仿宋" w:hAnsi="仿宋" w:eastAsia="仿宋"/>
          <w:sz w:val="28"/>
          <w:szCs w:val="28"/>
        </w:rPr>
        <w:t>8</w:t>
      </w:r>
      <w:r>
        <w:rPr>
          <w:rFonts w:ascii="仿宋" w:hAnsi="仿宋" w:eastAsia="仿宋"/>
          <w:sz w:val="28"/>
          <w:szCs w:val="28"/>
        </w:rPr>
        <w:t>0%</w:t>
      </w:r>
      <w:r>
        <w:rPr>
          <w:rFonts w:hint="eastAsia" w:ascii="仿宋" w:hAnsi="仿宋" w:eastAsia="仿宋"/>
          <w:sz w:val="28"/>
          <w:szCs w:val="28"/>
        </w:rPr>
        <w:t>，力争参与修订</w:t>
      </w:r>
      <w:r>
        <w:rPr>
          <w:rFonts w:ascii="仿宋" w:hAnsi="仿宋" w:eastAsia="仿宋"/>
          <w:sz w:val="28"/>
          <w:szCs w:val="28"/>
        </w:rPr>
        <w:t>职业技能等级标准</w:t>
      </w:r>
      <w:r>
        <w:rPr>
          <w:rFonts w:hint="eastAsia" w:ascii="仿宋" w:hAnsi="仿宋" w:eastAsia="仿宋"/>
          <w:sz w:val="28"/>
          <w:szCs w:val="28"/>
        </w:rPr>
        <w:t>。</w:t>
      </w:r>
    </w:p>
    <w:p>
      <w:pPr>
        <w:keepNext/>
        <w:keepLines/>
        <w:spacing w:line="540" w:lineRule="exact"/>
        <w:ind w:firstLine="562" w:firstLineChars="200"/>
        <w:outlineLvl w:val="3"/>
        <w:rPr>
          <w:rFonts w:ascii="Times New Roman" w:hAnsi="Times New Roman" w:eastAsia="仿宋"/>
          <w:b/>
          <w:sz w:val="28"/>
          <w:szCs w:val="28"/>
        </w:rPr>
      </w:pPr>
      <w:r>
        <w:rPr>
          <w:rFonts w:hint="eastAsia" w:ascii="Times New Roman" w:hAnsi="Times New Roman" w:eastAsia="仿宋"/>
          <w:b/>
          <w:sz w:val="28"/>
          <w:szCs w:val="28"/>
        </w:rPr>
        <w:t>（4）重点建设任务</w:t>
      </w:r>
    </w:p>
    <w:p>
      <w:pPr>
        <w:spacing w:line="540" w:lineRule="exact"/>
        <w:ind w:firstLine="562" w:firstLineChars="200"/>
        <w:rPr>
          <w:rFonts w:ascii="仿宋" w:hAnsi="仿宋" w:eastAsia="仿宋"/>
          <w:b/>
          <w:bCs/>
          <w:sz w:val="28"/>
          <w:szCs w:val="28"/>
        </w:rPr>
      </w:pPr>
      <w:r>
        <w:rPr>
          <w:rFonts w:hint="eastAsia" w:ascii="仿宋" w:hAnsi="仿宋" w:eastAsia="仿宋"/>
          <w:b/>
          <w:bCs/>
          <w:sz w:val="28"/>
          <w:szCs w:val="28"/>
        </w:rPr>
        <w:t>① 优化</w:t>
      </w:r>
      <w:bookmarkStart w:id="52" w:name="_Hlk160012283"/>
      <w:r>
        <w:rPr>
          <w:rFonts w:ascii="仿宋" w:hAnsi="仿宋" w:eastAsia="仿宋"/>
          <w:b/>
          <w:bCs/>
          <w:sz w:val="28"/>
          <w:szCs w:val="28"/>
        </w:rPr>
        <w:t>“书证融通”的课程体系</w:t>
      </w:r>
      <w:bookmarkEnd w:id="52"/>
    </w:p>
    <w:p>
      <w:pPr>
        <w:spacing w:line="540" w:lineRule="exact"/>
        <w:ind w:firstLine="560" w:firstLineChars="200"/>
        <w:rPr>
          <w:rFonts w:ascii="仿宋" w:hAnsi="仿宋" w:eastAsia="仿宋"/>
          <w:sz w:val="28"/>
          <w:szCs w:val="28"/>
        </w:rPr>
      </w:pPr>
      <w:r>
        <w:rPr>
          <w:rFonts w:ascii="仿宋" w:hAnsi="仿宋" w:eastAsia="仿宋"/>
          <w:sz w:val="28"/>
          <w:szCs w:val="28"/>
        </w:rPr>
        <w:t>以“课程共享突出、核心技术突出、综合能力突出”为指导，遵循课程体系集约化建设思路，群内课程“基础共享、特色聚焦、选修融通”，融入大思政教育与创新教育，结合1+X证书制度试点，校行企研共同研究，引入</w:t>
      </w:r>
      <w:r>
        <w:rPr>
          <w:rFonts w:hint="eastAsia" w:ascii="仿宋" w:hAnsi="仿宋" w:eastAsia="仿宋"/>
          <w:sz w:val="28"/>
          <w:szCs w:val="28"/>
        </w:rPr>
        <w:t>新一代电子信息</w:t>
      </w:r>
      <w:r>
        <w:rPr>
          <w:rFonts w:ascii="仿宋" w:hAnsi="仿宋" w:eastAsia="仿宋"/>
          <w:sz w:val="28"/>
          <w:szCs w:val="28"/>
        </w:rPr>
        <w:t>产业技术要素和文化要素，构建专业群平台共享、核心分立、高层互选三个维度的课程体系，校企合作开发基于国家标准和行业标准的专业群教学标准和课程标准，构建“书证融通”的课程体系。</w:t>
      </w:r>
    </w:p>
    <w:p>
      <w:pPr>
        <w:spacing w:line="540" w:lineRule="exact"/>
        <w:ind w:firstLine="562" w:firstLineChars="200"/>
        <w:rPr>
          <w:rFonts w:ascii="仿宋" w:hAnsi="仿宋" w:eastAsia="仿宋"/>
          <w:b/>
          <w:bCs/>
          <w:sz w:val="28"/>
          <w:szCs w:val="28"/>
        </w:rPr>
      </w:pPr>
      <w:r>
        <w:rPr>
          <w:rFonts w:hint="eastAsia" w:ascii="仿宋" w:hAnsi="仿宋" w:eastAsia="仿宋"/>
          <w:b/>
          <w:bCs/>
          <w:sz w:val="28"/>
          <w:szCs w:val="28"/>
        </w:rPr>
        <w:t>② 深化</w:t>
      </w:r>
      <w:r>
        <w:rPr>
          <w:rFonts w:ascii="仿宋" w:hAnsi="仿宋" w:eastAsia="仿宋"/>
          <w:b/>
          <w:bCs/>
          <w:sz w:val="28"/>
          <w:szCs w:val="28"/>
        </w:rPr>
        <w:t>课证融通</w:t>
      </w:r>
      <w:r>
        <w:rPr>
          <w:rFonts w:hint="eastAsia" w:ascii="仿宋" w:hAnsi="仿宋" w:eastAsia="仿宋"/>
          <w:b/>
          <w:bCs/>
          <w:sz w:val="28"/>
          <w:szCs w:val="28"/>
        </w:rPr>
        <w:t>的教学改革</w:t>
      </w:r>
    </w:p>
    <w:p>
      <w:pPr>
        <w:spacing w:line="540" w:lineRule="exact"/>
        <w:ind w:firstLine="560" w:firstLineChars="200"/>
        <w:rPr>
          <w:rFonts w:ascii="仿宋" w:hAnsi="仿宋" w:eastAsia="仿宋"/>
          <w:sz w:val="28"/>
          <w:szCs w:val="28"/>
        </w:rPr>
      </w:pPr>
      <w:r>
        <w:rPr>
          <w:rFonts w:ascii="仿宋" w:hAnsi="仿宋" w:eastAsia="仿宋"/>
          <w:sz w:val="28"/>
          <w:szCs w:val="28"/>
        </w:rPr>
        <w:t>根据职业技能等级标准和相应专业教学标准要求，将证书培训内容融入专业人才培养方案，优化课程设置和教学内容，深化教学方式方法改革，强化技能评价在办学模式、教学方式、人才培养等方面的引领作用，实践“学历证书+若干职业技能证书”的复合型人才培养模式，至2025年，试点专业毕业生多技能证书获取率超过</w:t>
      </w:r>
      <w:r>
        <w:rPr>
          <w:rFonts w:hint="eastAsia" w:ascii="仿宋" w:hAnsi="仿宋" w:eastAsia="仿宋"/>
          <w:sz w:val="28"/>
          <w:szCs w:val="28"/>
        </w:rPr>
        <w:t>8</w:t>
      </w:r>
      <w:r>
        <w:rPr>
          <w:rFonts w:ascii="仿宋" w:hAnsi="仿宋" w:eastAsia="仿宋"/>
          <w:sz w:val="28"/>
          <w:szCs w:val="28"/>
        </w:rPr>
        <w:t>0%。服务在校生、在职员工、退役军人、下岗职工、农民工群体的职业技能证书培训培养，落实国家“学分银行”制度试点，为技术技能人才持续成长、终身学习拓宽通道。</w:t>
      </w:r>
    </w:p>
    <w:p>
      <w:pPr>
        <w:spacing w:line="540" w:lineRule="exact"/>
        <w:ind w:firstLine="562" w:firstLineChars="200"/>
        <w:rPr>
          <w:rFonts w:ascii="仿宋" w:hAnsi="仿宋" w:eastAsia="仿宋"/>
          <w:b/>
          <w:bCs/>
          <w:sz w:val="28"/>
          <w:szCs w:val="28"/>
        </w:rPr>
      </w:pPr>
      <w:r>
        <w:rPr>
          <w:rFonts w:hint="eastAsia" w:ascii="仿宋" w:hAnsi="仿宋" w:eastAsia="仿宋"/>
          <w:b/>
          <w:bCs/>
          <w:sz w:val="28"/>
          <w:szCs w:val="28"/>
        </w:rPr>
        <w:t xml:space="preserve">③ </w:t>
      </w:r>
      <w:r>
        <w:rPr>
          <w:rFonts w:ascii="仿宋" w:hAnsi="仿宋" w:eastAsia="仿宋"/>
          <w:b/>
          <w:bCs/>
          <w:sz w:val="28"/>
          <w:szCs w:val="28"/>
        </w:rPr>
        <w:t>探索多元人才培养路径</w:t>
      </w:r>
    </w:p>
    <w:p>
      <w:pPr>
        <w:spacing w:line="540" w:lineRule="exact"/>
        <w:ind w:firstLine="560" w:firstLineChars="200"/>
        <w:rPr>
          <w:rFonts w:ascii="仿宋" w:hAnsi="仿宋" w:eastAsia="仿宋"/>
          <w:sz w:val="28"/>
          <w:szCs w:val="28"/>
        </w:rPr>
      </w:pPr>
      <w:r>
        <w:rPr>
          <w:rFonts w:ascii="仿宋" w:hAnsi="仿宋" w:eastAsia="仿宋"/>
          <w:sz w:val="28"/>
          <w:szCs w:val="28"/>
        </w:rPr>
        <w:t>制订个性化学分（学分银行）认定管理办法，对接职业技能等级证书标准，将证书培训内容融入专业人才培养方案，通过合理设计项目实现项目内容对接证书标准、项目实施过程对接企业工作过程、项目考核评价对接技能鉴定，优化课程设置和教学内容，改革教学组织方式和培训方法，改变课程考核方式，促进学历证书与职业技能等级证书互通</w:t>
      </w:r>
      <w:r>
        <w:rPr>
          <w:rFonts w:hint="eastAsia" w:ascii="仿宋" w:hAnsi="仿宋" w:eastAsia="仿宋"/>
          <w:sz w:val="28"/>
          <w:szCs w:val="28"/>
        </w:rPr>
        <w:t>，</w:t>
      </w:r>
      <w:r>
        <w:rPr>
          <w:rFonts w:ascii="仿宋" w:hAnsi="仿宋" w:eastAsia="仿宋"/>
          <w:sz w:val="28"/>
          <w:szCs w:val="28"/>
        </w:rPr>
        <w:t>为</w:t>
      </w:r>
      <w:r>
        <w:rPr>
          <w:rFonts w:hint="eastAsia" w:ascii="仿宋" w:hAnsi="仿宋" w:eastAsia="仿宋"/>
          <w:sz w:val="28"/>
          <w:szCs w:val="28"/>
        </w:rPr>
        <w:t>省级</w:t>
      </w:r>
      <w:r>
        <w:rPr>
          <w:rFonts w:ascii="仿宋" w:hAnsi="仿宋" w:eastAsia="仿宋"/>
          <w:sz w:val="28"/>
          <w:szCs w:val="28"/>
        </w:rPr>
        <w:t>职业院校开展“1+X”试点提供样板。</w:t>
      </w:r>
    </w:p>
    <w:p>
      <w:pPr>
        <w:spacing w:line="540" w:lineRule="exact"/>
        <w:ind w:firstLine="562" w:firstLineChars="200"/>
        <w:rPr>
          <w:rFonts w:ascii="仿宋" w:hAnsi="仿宋" w:eastAsia="仿宋"/>
          <w:b/>
          <w:bCs/>
          <w:sz w:val="28"/>
          <w:szCs w:val="28"/>
        </w:rPr>
      </w:pPr>
      <w:r>
        <w:rPr>
          <w:rFonts w:hint="eastAsia" w:ascii="仿宋" w:hAnsi="仿宋" w:eastAsia="仿宋"/>
          <w:b/>
          <w:bCs/>
          <w:sz w:val="28"/>
          <w:szCs w:val="28"/>
        </w:rPr>
        <w:t>④ 建设多证书评价综合基地</w:t>
      </w:r>
    </w:p>
    <w:p>
      <w:pPr>
        <w:spacing w:line="540" w:lineRule="exact"/>
        <w:ind w:firstLine="560" w:firstLineChars="200"/>
        <w:rPr>
          <w:rFonts w:ascii="仿宋" w:hAnsi="仿宋" w:eastAsia="仿宋"/>
          <w:sz w:val="28"/>
          <w:szCs w:val="28"/>
        </w:rPr>
      </w:pPr>
      <w:r>
        <w:rPr>
          <w:rFonts w:ascii="仿宋" w:hAnsi="仿宋" w:eastAsia="仿宋"/>
          <w:sz w:val="28"/>
          <w:szCs w:val="28"/>
        </w:rPr>
        <w:t>依托</w:t>
      </w:r>
      <w:r>
        <w:rPr>
          <w:rFonts w:hint="eastAsia" w:ascii="仿宋" w:hAnsi="仿宋" w:eastAsia="仿宋"/>
          <w:sz w:val="28"/>
          <w:szCs w:val="28"/>
        </w:rPr>
        <w:t>新一代市域产教融合体</w:t>
      </w:r>
      <w:r>
        <w:rPr>
          <w:rFonts w:ascii="仿宋" w:hAnsi="仿宋" w:eastAsia="仿宋"/>
          <w:sz w:val="28"/>
          <w:szCs w:val="28"/>
        </w:rPr>
        <w:t>等</w:t>
      </w:r>
      <w:r>
        <w:rPr>
          <w:rFonts w:hint="eastAsia" w:ascii="仿宋" w:hAnsi="仿宋" w:eastAsia="仿宋"/>
          <w:sz w:val="28"/>
          <w:szCs w:val="28"/>
        </w:rPr>
        <w:t>平台</w:t>
      </w:r>
      <w:r>
        <w:rPr>
          <w:rFonts w:ascii="仿宋" w:hAnsi="仿宋" w:eastAsia="仿宋"/>
          <w:sz w:val="28"/>
          <w:szCs w:val="28"/>
        </w:rPr>
        <w:t>，联合行业企业和培训组织，建立</w:t>
      </w:r>
      <w:r>
        <w:rPr>
          <w:rFonts w:hint="eastAsia" w:ascii="仿宋" w:hAnsi="仿宋" w:eastAsia="仿宋"/>
          <w:sz w:val="28"/>
          <w:szCs w:val="28"/>
        </w:rPr>
        <w:t>人工智能</w:t>
      </w:r>
      <w:r>
        <w:rPr>
          <w:rFonts w:ascii="仿宋" w:hAnsi="仿宋" w:eastAsia="仿宋"/>
          <w:sz w:val="28"/>
          <w:szCs w:val="28"/>
        </w:rPr>
        <w:t>等</w:t>
      </w:r>
      <w:r>
        <w:rPr>
          <w:rFonts w:hint="eastAsia" w:ascii="仿宋" w:hAnsi="仿宋" w:eastAsia="仿宋"/>
          <w:sz w:val="28"/>
          <w:szCs w:val="28"/>
        </w:rPr>
        <w:t>相关</w:t>
      </w:r>
      <w:r>
        <w:rPr>
          <w:rFonts w:ascii="仿宋" w:hAnsi="仿宋" w:eastAsia="仿宋"/>
          <w:sz w:val="28"/>
          <w:szCs w:val="28"/>
        </w:rPr>
        <w:t>专业</w:t>
      </w:r>
      <w:r>
        <w:rPr>
          <w:rFonts w:hint="eastAsia" w:ascii="仿宋" w:hAnsi="仿宋" w:eastAsia="仿宋"/>
          <w:sz w:val="28"/>
          <w:szCs w:val="28"/>
        </w:rPr>
        <w:t>的省</w:t>
      </w:r>
      <w:r>
        <w:rPr>
          <w:rFonts w:ascii="仿宋" w:hAnsi="仿宋" w:eastAsia="仿宋"/>
          <w:sz w:val="28"/>
          <w:szCs w:val="28"/>
        </w:rPr>
        <w:t>级“1+X”职业技能等级培训、鉴定基地和师资培训品牌基地。对接“1+X”职业技能等级证书要求，利用数字化培训资源，以项目为载体，面向校内外人员开展职业技能等级培训与鉴定。面向全国职业院校教师，开展“1+X”师资培训，重点加强教师在培训项目设计、培训资源开发、培训方法改进以及鉴定方式选择等方面的能力。指导全国职业院校开展“1+X”培训试点工作，全面提升职业院校教学、培训和鉴定能力。拓宽全国职业教育师资培训渠道，丰富职业教育双师标准内涵。</w:t>
      </w:r>
    </w:p>
    <w:p>
      <w:pPr>
        <w:keepNext/>
        <w:keepLines/>
        <w:spacing w:line="540" w:lineRule="exact"/>
        <w:ind w:firstLine="562" w:firstLineChars="200"/>
        <w:outlineLvl w:val="3"/>
        <w:rPr>
          <w:rFonts w:ascii="Times New Roman" w:hAnsi="Times New Roman" w:eastAsia="仿宋"/>
          <w:b/>
          <w:sz w:val="28"/>
          <w:szCs w:val="28"/>
        </w:rPr>
      </w:pPr>
      <w:r>
        <w:rPr>
          <w:rFonts w:hint="eastAsia" w:ascii="Times New Roman" w:hAnsi="Times New Roman" w:eastAsia="仿宋"/>
          <w:b/>
          <w:sz w:val="28"/>
          <w:szCs w:val="28"/>
        </w:rPr>
        <w:t>（5）建设计划</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3535"/>
        <w:gridCol w:w="13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1704" w:type="dxa"/>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lang w:eastAsia="en-US"/>
              </w:rPr>
            </w:pPr>
            <w:r>
              <w:rPr>
                <w:rFonts w:hint="eastAsia" w:ascii="仿宋" w:hAnsi="仿宋" w:eastAsia="仿宋" w:cs="仿宋"/>
                <w:b/>
                <w:bCs/>
                <w:color w:val="000000"/>
                <w:kern w:val="0"/>
                <w:szCs w:val="21"/>
                <w:lang w:eastAsia="en-US"/>
              </w:rPr>
              <w:t>年度</w:t>
            </w:r>
          </w:p>
        </w:tc>
        <w:tc>
          <w:tcPr>
            <w:tcW w:w="1704" w:type="dxa"/>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lang w:eastAsia="en-US"/>
              </w:rPr>
            </w:pPr>
            <w:r>
              <w:rPr>
                <w:rFonts w:hint="eastAsia" w:ascii="仿宋" w:hAnsi="仿宋" w:eastAsia="仿宋" w:cs="仿宋"/>
                <w:b/>
                <w:bCs/>
                <w:color w:val="000000"/>
                <w:kern w:val="0"/>
                <w:szCs w:val="21"/>
                <w:lang w:eastAsia="en-US"/>
              </w:rPr>
              <w:t>建设任务</w:t>
            </w:r>
          </w:p>
        </w:tc>
        <w:tc>
          <w:tcPr>
            <w:tcW w:w="3535" w:type="dxa"/>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lang w:eastAsia="en-US"/>
              </w:rPr>
            </w:pPr>
            <w:r>
              <w:rPr>
                <w:rFonts w:hint="eastAsia" w:ascii="仿宋" w:hAnsi="仿宋" w:eastAsia="仿宋" w:cs="仿宋"/>
                <w:b/>
                <w:bCs/>
                <w:color w:val="000000"/>
                <w:kern w:val="0"/>
                <w:szCs w:val="21"/>
                <w:lang w:eastAsia="en-US"/>
              </w:rPr>
              <w:t>建设内容</w:t>
            </w:r>
          </w:p>
        </w:tc>
        <w:tc>
          <w:tcPr>
            <w:tcW w:w="1387" w:type="dxa"/>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lang w:eastAsia="en-US"/>
              </w:rPr>
            </w:pPr>
            <w:r>
              <w:rPr>
                <w:rFonts w:hint="eastAsia" w:ascii="仿宋" w:hAnsi="仿宋" w:eastAsia="仿宋" w:cs="仿宋"/>
                <w:b/>
                <w:bCs/>
                <w:color w:val="000000"/>
                <w:kern w:val="0"/>
                <w:szCs w:val="21"/>
                <w:lang w:eastAsia="en-US"/>
              </w:rPr>
              <w:t>负责部门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restart"/>
            <w:vAlign w:val="center"/>
          </w:tcPr>
          <w:p>
            <w:pPr>
              <w:spacing w:line="260" w:lineRule="exact"/>
              <w:jc w:val="center"/>
              <w:rPr>
                <w:rFonts w:ascii="仿宋" w:hAnsi="仿宋" w:eastAsia="仿宋" w:cs="仿宋"/>
                <w:b/>
                <w:szCs w:val="21"/>
              </w:rPr>
            </w:pPr>
            <w:r>
              <w:rPr>
                <w:rFonts w:hint="eastAsia" w:ascii="仿宋" w:hAnsi="仿宋" w:eastAsia="仿宋" w:cs="仿宋"/>
                <w:b/>
                <w:szCs w:val="21"/>
              </w:rPr>
              <w:t>2023</w:t>
            </w:r>
          </w:p>
        </w:tc>
        <w:tc>
          <w:tcPr>
            <w:tcW w:w="1704"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优化“书证融通”的课程体系</w:t>
            </w:r>
          </w:p>
        </w:tc>
        <w:tc>
          <w:tcPr>
            <w:tcW w:w="3535" w:type="dxa"/>
            <w:vAlign w:val="center"/>
          </w:tcPr>
          <w:p>
            <w:pPr>
              <w:spacing w:line="260" w:lineRule="exact"/>
              <w:rPr>
                <w:rFonts w:ascii="仿宋" w:hAnsi="仿宋" w:eastAsia="仿宋" w:cs="仿宋"/>
                <w:bCs/>
                <w:szCs w:val="21"/>
              </w:rPr>
            </w:pPr>
            <w:r>
              <w:rPr>
                <w:rFonts w:hint="eastAsia" w:ascii="仿宋" w:hAnsi="仿宋" w:eastAsia="仿宋" w:cs="仿宋"/>
                <w:bCs/>
                <w:szCs w:val="21"/>
              </w:rPr>
              <w:t>引入新一代电子信息产业技术要素和文化要素，构建专业群平台共享、核心分立、高层互选三个维度的课程体系</w:t>
            </w:r>
          </w:p>
        </w:tc>
        <w:tc>
          <w:tcPr>
            <w:tcW w:w="1387"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教务处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continue"/>
            <w:vAlign w:val="center"/>
          </w:tcPr>
          <w:p>
            <w:pPr>
              <w:spacing w:line="260" w:lineRule="exact"/>
              <w:jc w:val="center"/>
              <w:rPr>
                <w:rFonts w:ascii="仿宋" w:hAnsi="仿宋" w:eastAsia="仿宋" w:cs="仿宋"/>
                <w:b/>
                <w:szCs w:val="21"/>
              </w:rPr>
            </w:pPr>
          </w:p>
        </w:tc>
        <w:tc>
          <w:tcPr>
            <w:tcW w:w="1704"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深化课证融通的教学改革</w:t>
            </w:r>
          </w:p>
        </w:tc>
        <w:tc>
          <w:tcPr>
            <w:tcW w:w="3535" w:type="dxa"/>
            <w:vAlign w:val="center"/>
          </w:tcPr>
          <w:p>
            <w:pPr>
              <w:spacing w:line="260" w:lineRule="exact"/>
              <w:rPr>
                <w:rFonts w:ascii="仿宋" w:hAnsi="仿宋" w:eastAsia="仿宋" w:cs="仿宋"/>
                <w:bCs/>
                <w:szCs w:val="21"/>
              </w:rPr>
            </w:pPr>
            <w:r>
              <w:rPr>
                <w:rFonts w:hint="eastAsia" w:ascii="仿宋" w:hAnsi="仿宋" w:eastAsia="仿宋" w:cs="仿宋"/>
                <w:bCs/>
                <w:szCs w:val="21"/>
              </w:rPr>
              <w:t>根据职业技能等级标准和相应专业教学标准要求，将证书培训内容融入专业人才培养方案</w:t>
            </w:r>
          </w:p>
        </w:tc>
        <w:tc>
          <w:tcPr>
            <w:tcW w:w="1387"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教务处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continue"/>
            <w:vAlign w:val="center"/>
          </w:tcPr>
          <w:p>
            <w:pPr>
              <w:spacing w:line="260" w:lineRule="exact"/>
              <w:jc w:val="center"/>
              <w:rPr>
                <w:rFonts w:ascii="仿宋" w:hAnsi="仿宋" w:eastAsia="仿宋" w:cs="仿宋"/>
                <w:b/>
                <w:szCs w:val="21"/>
              </w:rPr>
            </w:pPr>
          </w:p>
        </w:tc>
        <w:tc>
          <w:tcPr>
            <w:tcW w:w="1704"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探索多元人才培养路径</w:t>
            </w:r>
          </w:p>
        </w:tc>
        <w:tc>
          <w:tcPr>
            <w:tcW w:w="3535" w:type="dxa"/>
            <w:vAlign w:val="center"/>
          </w:tcPr>
          <w:p>
            <w:pPr>
              <w:spacing w:line="260" w:lineRule="exact"/>
              <w:rPr>
                <w:rFonts w:ascii="仿宋" w:hAnsi="仿宋" w:eastAsia="仿宋" w:cs="仿宋"/>
                <w:bCs/>
                <w:szCs w:val="21"/>
              </w:rPr>
            </w:pPr>
            <w:r>
              <w:rPr>
                <w:rFonts w:hint="eastAsia" w:ascii="仿宋" w:hAnsi="仿宋" w:eastAsia="仿宋" w:cs="仿宋"/>
                <w:bCs/>
                <w:szCs w:val="21"/>
              </w:rPr>
              <w:t>制订个性化学分（学分银行）认定管理办法，对接职业技能等级证书标准</w:t>
            </w:r>
          </w:p>
        </w:tc>
        <w:tc>
          <w:tcPr>
            <w:tcW w:w="1387"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教务处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continue"/>
            <w:vAlign w:val="center"/>
          </w:tcPr>
          <w:p>
            <w:pPr>
              <w:spacing w:line="260" w:lineRule="exact"/>
              <w:jc w:val="center"/>
              <w:rPr>
                <w:rFonts w:ascii="仿宋" w:hAnsi="仿宋" w:eastAsia="仿宋" w:cs="仿宋"/>
                <w:b/>
                <w:szCs w:val="21"/>
              </w:rPr>
            </w:pPr>
          </w:p>
        </w:tc>
        <w:tc>
          <w:tcPr>
            <w:tcW w:w="1704"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建设多证书评价综合基地</w:t>
            </w:r>
          </w:p>
        </w:tc>
        <w:tc>
          <w:tcPr>
            <w:tcW w:w="3535" w:type="dxa"/>
            <w:vAlign w:val="center"/>
          </w:tcPr>
          <w:p>
            <w:pPr>
              <w:spacing w:line="260" w:lineRule="exact"/>
              <w:rPr>
                <w:rFonts w:ascii="仿宋" w:hAnsi="仿宋" w:eastAsia="仿宋" w:cs="仿宋"/>
                <w:bCs/>
                <w:szCs w:val="21"/>
              </w:rPr>
            </w:pPr>
            <w:r>
              <w:rPr>
                <w:rFonts w:hint="eastAsia" w:ascii="仿宋" w:hAnsi="仿宋" w:eastAsia="仿宋" w:cs="仿宋"/>
                <w:bCs/>
                <w:szCs w:val="21"/>
              </w:rPr>
              <w:t>依托新一代市域产教融合体等平台，联合行业企业和培训组织，建立人工智能等相关专业的省级“1+X”职业技能等级培训、鉴定基地和师资培训品牌基地</w:t>
            </w:r>
          </w:p>
        </w:tc>
        <w:tc>
          <w:tcPr>
            <w:tcW w:w="1387"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继续教育中心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restart"/>
            <w:vAlign w:val="center"/>
          </w:tcPr>
          <w:p>
            <w:pPr>
              <w:spacing w:line="260" w:lineRule="exact"/>
              <w:jc w:val="center"/>
              <w:rPr>
                <w:rFonts w:ascii="仿宋" w:hAnsi="仿宋" w:eastAsia="仿宋" w:cs="仿宋"/>
                <w:b/>
                <w:szCs w:val="21"/>
              </w:rPr>
            </w:pPr>
            <w:r>
              <w:rPr>
                <w:rFonts w:hint="eastAsia" w:ascii="仿宋" w:hAnsi="仿宋" w:eastAsia="仿宋" w:cs="仿宋"/>
                <w:b/>
                <w:szCs w:val="21"/>
              </w:rPr>
              <w:t>2024</w:t>
            </w:r>
          </w:p>
        </w:tc>
        <w:tc>
          <w:tcPr>
            <w:tcW w:w="1704"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优化“书证融通”的课程体系</w:t>
            </w:r>
          </w:p>
        </w:tc>
        <w:tc>
          <w:tcPr>
            <w:tcW w:w="3535" w:type="dxa"/>
            <w:vAlign w:val="center"/>
          </w:tcPr>
          <w:p>
            <w:pPr>
              <w:spacing w:line="260" w:lineRule="exact"/>
              <w:rPr>
                <w:rFonts w:ascii="仿宋" w:hAnsi="仿宋" w:eastAsia="仿宋" w:cs="仿宋"/>
                <w:bCs/>
                <w:szCs w:val="21"/>
              </w:rPr>
            </w:pPr>
            <w:r>
              <w:rPr>
                <w:rFonts w:hint="eastAsia" w:ascii="仿宋" w:hAnsi="仿宋" w:eastAsia="仿宋" w:cs="仿宋"/>
                <w:bCs/>
                <w:szCs w:val="21"/>
              </w:rPr>
              <w:t>校企合作开发基于国家标准和行业标准的专业群教学标准和课程标准，构建“书证融通”的课程体系</w:t>
            </w:r>
          </w:p>
        </w:tc>
        <w:tc>
          <w:tcPr>
            <w:tcW w:w="1387"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教务处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continue"/>
            <w:vAlign w:val="center"/>
          </w:tcPr>
          <w:p>
            <w:pPr>
              <w:spacing w:line="260" w:lineRule="exact"/>
              <w:jc w:val="center"/>
              <w:rPr>
                <w:rFonts w:ascii="仿宋" w:hAnsi="仿宋" w:eastAsia="仿宋" w:cs="仿宋"/>
                <w:b/>
                <w:szCs w:val="21"/>
              </w:rPr>
            </w:pPr>
          </w:p>
        </w:tc>
        <w:tc>
          <w:tcPr>
            <w:tcW w:w="1704"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深化课证融通的教学改革</w:t>
            </w:r>
          </w:p>
        </w:tc>
        <w:tc>
          <w:tcPr>
            <w:tcW w:w="3535" w:type="dxa"/>
            <w:vAlign w:val="center"/>
          </w:tcPr>
          <w:p>
            <w:pPr>
              <w:spacing w:line="260" w:lineRule="exact"/>
              <w:rPr>
                <w:rFonts w:ascii="仿宋" w:hAnsi="仿宋" w:eastAsia="仿宋" w:cs="仿宋"/>
                <w:bCs/>
                <w:szCs w:val="21"/>
              </w:rPr>
            </w:pPr>
            <w:r>
              <w:rPr>
                <w:rFonts w:hint="eastAsia" w:ascii="仿宋" w:hAnsi="仿宋" w:eastAsia="仿宋" w:cs="仿宋"/>
                <w:bCs/>
                <w:szCs w:val="21"/>
              </w:rPr>
              <w:t>深化教学方式方法改革，强化技能评价在办学模式、教学方式、人才培养等方面的引领作用，实现“学历证书+若干职业技能证书”的复合型人才培养模式</w:t>
            </w:r>
          </w:p>
        </w:tc>
        <w:tc>
          <w:tcPr>
            <w:tcW w:w="1387"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教务处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continue"/>
            <w:vAlign w:val="center"/>
          </w:tcPr>
          <w:p>
            <w:pPr>
              <w:spacing w:line="260" w:lineRule="exact"/>
              <w:jc w:val="center"/>
              <w:rPr>
                <w:rFonts w:ascii="仿宋" w:hAnsi="仿宋" w:eastAsia="仿宋" w:cs="仿宋"/>
                <w:b/>
                <w:szCs w:val="21"/>
              </w:rPr>
            </w:pPr>
          </w:p>
        </w:tc>
        <w:tc>
          <w:tcPr>
            <w:tcW w:w="1704"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探索多元人才培养路径</w:t>
            </w:r>
          </w:p>
        </w:tc>
        <w:tc>
          <w:tcPr>
            <w:tcW w:w="3535" w:type="dxa"/>
            <w:vAlign w:val="center"/>
          </w:tcPr>
          <w:p>
            <w:pPr>
              <w:spacing w:line="260" w:lineRule="exact"/>
              <w:rPr>
                <w:rFonts w:ascii="仿宋" w:hAnsi="仿宋" w:eastAsia="仿宋" w:cs="仿宋"/>
                <w:bCs/>
                <w:szCs w:val="21"/>
              </w:rPr>
            </w:pPr>
            <w:r>
              <w:rPr>
                <w:rFonts w:hint="eastAsia" w:ascii="仿宋" w:hAnsi="仿宋" w:eastAsia="仿宋" w:cs="仿宋"/>
                <w:bCs/>
                <w:szCs w:val="21"/>
              </w:rPr>
              <w:t>制订个性化学分（学分银行）认定管理办法，对接职业技能等级证书标准</w:t>
            </w:r>
          </w:p>
        </w:tc>
        <w:tc>
          <w:tcPr>
            <w:tcW w:w="1387"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教务处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continue"/>
            <w:vAlign w:val="center"/>
          </w:tcPr>
          <w:p>
            <w:pPr>
              <w:spacing w:line="260" w:lineRule="exact"/>
              <w:jc w:val="center"/>
              <w:rPr>
                <w:rFonts w:ascii="仿宋" w:hAnsi="仿宋" w:eastAsia="仿宋" w:cs="仿宋"/>
                <w:b/>
                <w:szCs w:val="21"/>
              </w:rPr>
            </w:pPr>
          </w:p>
        </w:tc>
        <w:tc>
          <w:tcPr>
            <w:tcW w:w="1704"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建设多证书评价综合基地</w:t>
            </w:r>
          </w:p>
        </w:tc>
        <w:tc>
          <w:tcPr>
            <w:tcW w:w="3535" w:type="dxa"/>
            <w:vAlign w:val="center"/>
          </w:tcPr>
          <w:p>
            <w:pPr>
              <w:spacing w:line="260" w:lineRule="exact"/>
              <w:rPr>
                <w:rFonts w:ascii="仿宋" w:hAnsi="仿宋" w:eastAsia="仿宋" w:cs="仿宋"/>
                <w:bCs/>
                <w:szCs w:val="21"/>
              </w:rPr>
            </w:pPr>
            <w:r>
              <w:rPr>
                <w:rFonts w:hint="eastAsia" w:ascii="仿宋" w:hAnsi="仿宋" w:eastAsia="仿宋" w:cs="仿宋"/>
                <w:bCs/>
                <w:szCs w:val="21"/>
              </w:rPr>
              <w:t>对接“1+X”职业技能等级证书要求，利用数字化培训资源，以项目为载体，面向校内外人员开展职业技能等级培训与鉴定</w:t>
            </w:r>
          </w:p>
        </w:tc>
        <w:tc>
          <w:tcPr>
            <w:tcW w:w="1387"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继续教育中心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restart"/>
            <w:vAlign w:val="center"/>
          </w:tcPr>
          <w:p>
            <w:pPr>
              <w:spacing w:line="260" w:lineRule="exact"/>
              <w:jc w:val="center"/>
              <w:rPr>
                <w:rFonts w:ascii="仿宋" w:hAnsi="仿宋" w:eastAsia="仿宋" w:cs="仿宋"/>
                <w:b/>
                <w:szCs w:val="21"/>
              </w:rPr>
            </w:pPr>
            <w:r>
              <w:rPr>
                <w:rFonts w:hint="eastAsia" w:ascii="仿宋" w:hAnsi="仿宋" w:eastAsia="仿宋" w:cs="仿宋"/>
                <w:b/>
                <w:szCs w:val="21"/>
              </w:rPr>
              <w:t>2025</w:t>
            </w:r>
          </w:p>
        </w:tc>
        <w:tc>
          <w:tcPr>
            <w:tcW w:w="1704"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优化“书证融通”的课程体系</w:t>
            </w:r>
          </w:p>
        </w:tc>
        <w:tc>
          <w:tcPr>
            <w:tcW w:w="3535" w:type="dxa"/>
            <w:vAlign w:val="center"/>
          </w:tcPr>
          <w:p>
            <w:pPr>
              <w:spacing w:line="260" w:lineRule="exact"/>
              <w:rPr>
                <w:rFonts w:ascii="仿宋" w:hAnsi="仿宋" w:eastAsia="仿宋" w:cs="仿宋"/>
                <w:bCs/>
                <w:szCs w:val="21"/>
              </w:rPr>
            </w:pPr>
            <w:r>
              <w:rPr>
                <w:rFonts w:hint="eastAsia" w:ascii="仿宋" w:hAnsi="仿宋" w:eastAsia="仿宋" w:cs="仿宋"/>
                <w:bCs/>
                <w:szCs w:val="21"/>
              </w:rPr>
              <w:t>校企合作开发基于国家标准和行业标准的专业群教学标准和课程标准，构建“书证融通”的课程体系</w:t>
            </w:r>
          </w:p>
        </w:tc>
        <w:tc>
          <w:tcPr>
            <w:tcW w:w="1387"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教务处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continue"/>
            <w:vAlign w:val="center"/>
          </w:tcPr>
          <w:p>
            <w:pPr>
              <w:spacing w:line="260" w:lineRule="exact"/>
              <w:jc w:val="center"/>
              <w:rPr>
                <w:rFonts w:ascii="仿宋" w:hAnsi="仿宋" w:eastAsia="仿宋" w:cs="仿宋"/>
                <w:bCs/>
                <w:szCs w:val="21"/>
              </w:rPr>
            </w:pPr>
          </w:p>
        </w:tc>
        <w:tc>
          <w:tcPr>
            <w:tcW w:w="1704"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深化课证融通的教学改革</w:t>
            </w:r>
          </w:p>
        </w:tc>
        <w:tc>
          <w:tcPr>
            <w:tcW w:w="3535" w:type="dxa"/>
            <w:vAlign w:val="center"/>
          </w:tcPr>
          <w:p>
            <w:pPr>
              <w:spacing w:line="260" w:lineRule="exact"/>
              <w:rPr>
                <w:rFonts w:ascii="仿宋" w:hAnsi="仿宋" w:eastAsia="仿宋" w:cs="仿宋"/>
                <w:bCs/>
                <w:szCs w:val="21"/>
              </w:rPr>
            </w:pPr>
            <w:r>
              <w:rPr>
                <w:rFonts w:hint="eastAsia" w:ascii="仿宋" w:hAnsi="仿宋" w:eastAsia="仿宋" w:cs="仿宋"/>
                <w:bCs/>
                <w:szCs w:val="21"/>
              </w:rPr>
              <w:t>试点专业毕业生多技能证书获取率超过80%</w:t>
            </w:r>
          </w:p>
        </w:tc>
        <w:tc>
          <w:tcPr>
            <w:tcW w:w="1387"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教务处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continue"/>
            <w:vAlign w:val="center"/>
          </w:tcPr>
          <w:p>
            <w:pPr>
              <w:spacing w:line="260" w:lineRule="exact"/>
              <w:jc w:val="center"/>
              <w:rPr>
                <w:rFonts w:ascii="仿宋" w:hAnsi="仿宋" w:eastAsia="仿宋" w:cs="仿宋"/>
                <w:bCs/>
                <w:szCs w:val="21"/>
              </w:rPr>
            </w:pPr>
          </w:p>
        </w:tc>
        <w:tc>
          <w:tcPr>
            <w:tcW w:w="1704"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探索多元人才培养路径</w:t>
            </w:r>
          </w:p>
        </w:tc>
        <w:tc>
          <w:tcPr>
            <w:tcW w:w="3535" w:type="dxa"/>
            <w:vAlign w:val="center"/>
          </w:tcPr>
          <w:p>
            <w:pPr>
              <w:spacing w:line="260" w:lineRule="exact"/>
              <w:rPr>
                <w:rFonts w:ascii="仿宋" w:hAnsi="仿宋" w:eastAsia="仿宋" w:cs="仿宋"/>
                <w:bCs/>
                <w:szCs w:val="21"/>
              </w:rPr>
            </w:pPr>
            <w:r>
              <w:rPr>
                <w:rFonts w:hint="eastAsia" w:ascii="仿宋" w:hAnsi="仿宋" w:eastAsia="仿宋" w:cs="仿宋"/>
                <w:bCs/>
                <w:szCs w:val="21"/>
              </w:rPr>
              <w:t>制订个性化学分（学分银行）认定管理办法，对接职业技能等级证书标准</w:t>
            </w:r>
          </w:p>
        </w:tc>
        <w:tc>
          <w:tcPr>
            <w:tcW w:w="1387"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教务处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continue"/>
            <w:vAlign w:val="center"/>
          </w:tcPr>
          <w:p>
            <w:pPr>
              <w:spacing w:line="260" w:lineRule="exact"/>
              <w:jc w:val="center"/>
              <w:rPr>
                <w:rFonts w:ascii="仿宋" w:hAnsi="仿宋" w:eastAsia="仿宋" w:cs="仿宋"/>
                <w:bCs/>
                <w:szCs w:val="21"/>
              </w:rPr>
            </w:pPr>
          </w:p>
        </w:tc>
        <w:tc>
          <w:tcPr>
            <w:tcW w:w="1704"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建设多证书评价综合基地</w:t>
            </w:r>
          </w:p>
        </w:tc>
        <w:tc>
          <w:tcPr>
            <w:tcW w:w="3535" w:type="dxa"/>
            <w:vAlign w:val="center"/>
          </w:tcPr>
          <w:p>
            <w:pPr>
              <w:spacing w:line="260" w:lineRule="exact"/>
              <w:rPr>
                <w:rFonts w:ascii="仿宋" w:hAnsi="仿宋" w:eastAsia="仿宋" w:cs="仿宋"/>
                <w:bCs/>
                <w:szCs w:val="21"/>
              </w:rPr>
            </w:pPr>
            <w:r>
              <w:rPr>
                <w:rFonts w:hint="eastAsia" w:ascii="仿宋" w:hAnsi="仿宋" w:eastAsia="仿宋" w:cs="仿宋"/>
                <w:bCs/>
                <w:szCs w:val="21"/>
              </w:rPr>
              <w:t>开展 “1+X”师资培训，重点加强教师在培训项目设计、培训资源开发、培训方法改进以及鉴定方式选择等方面的能力</w:t>
            </w:r>
          </w:p>
        </w:tc>
        <w:tc>
          <w:tcPr>
            <w:tcW w:w="1387"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继续教育中心</w:t>
            </w:r>
          </w:p>
        </w:tc>
      </w:tr>
    </w:tbl>
    <w:p>
      <w:pPr>
        <w:keepNext/>
        <w:keepLines/>
        <w:spacing w:line="540" w:lineRule="exact"/>
        <w:ind w:firstLine="562" w:firstLineChars="200"/>
        <w:outlineLvl w:val="3"/>
        <w:rPr>
          <w:rFonts w:ascii="仿宋" w:hAnsi="仿宋" w:eastAsia="仿宋"/>
          <w:b/>
          <w:bCs/>
          <w:sz w:val="28"/>
          <w:szCs w:val="28"/>
        </w:rPr>
      </w:pPr>
      <w:r>
        <w:rPr>
          <w:rFonts w:hint="eastAsia" w:ascii="Times New Roman" w:hAnsi="Times New Roman" w:eastAsia="仿宋"/>
          <w:b/>
          <w:sz w:val="28"/>
          <w:szCs w:val="28"/>
        </w:rPr>
        <w:t>（6）预期成效及资金测算</w:t>
      </w:r>
    </w:p>
    <w:tbl>
      <w:tblPr>
        <w:tblStyle w:val="16"/>
        <w:tblW w:w="0" w:type="auto"/>
        <w:jc w:val="center"/>
        <w:tblLayout w:type="autofit"/>
        <w:tblCellMar>
          <w:top w:w="15" w:type="dxa"/>
          <w:left w:w="15" w:type="dxa"/>
          <w:bottom w:w="15" w:type="dxa"/>
          <w:right w:w="15" w:type="dxa"/>
        </w:tblCellMar>
      </w:tblPr>
      <w:tblGrid>
        <w:gridCol w:w="960"/>
        <w:gridCol w:w="3373"/>
        <w:gridCol w:w="2542"/>
        <w:gridCol w:w="487"/>
        <w:gridCol w:w="487"/>
        <w:gridCol w:w="487"/>
      </w:tblGrid>
      <w:tr>
        <w:tblPrEx>
          <w:tblCellMar>
            <w:top w:w="15" w:type="dxa"/>
            <w:left w:w="15" w:type="dxa"/>
            <w:bottom w:w="15" w:type="dxa"/>
            <w:right w:w="15" w:type="dxa"/>
          </w:tblCellMar>
        </w:tblPrEx>
        <w:trPr>
          <w:trHeight w:val="301" w:hRule="atLeast"/>
          <w:jc w:val="center"/>
        </w:trPr>
        <w:tc>
          <w:tcPr>
            <w:tcW w:w="960" w:type="dxa"/>
            <w:vMerge w:val="restart"/>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项目名称</w:t>
            </w:r>
          </w:p>
        </w:tc>
        <w:tc>
          <w:tcPr>
            <w:tcW w:w="3373" w:type="dxa"/>
            <w:vMerge w:val="restart"/>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主要建设内容</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预期建设成效</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建设资金安排表（万元）</w:t>
            </w:r>
          </w:p>
        </w:tc>
      </w:tr>
      <w:tr>
        <w:tblPrEx>
          <w:tblCellMar>
            <w:top w:w="15" w:type="dxa"/>
            <w:left w:w="15" w:type="dxa"/>
            <w:bottom w:w="15" w:type="dxa"/>
            <w:right w:w="15" w:type="dxa"/>
          </w:tblCellMar>
        </w:tblPrEx>
        <w:trPr>
          <w:trHeight w:val="286" w:hRule="atLeast"/>
          <w:jc w:val="center"/>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jc w:val="center"/>
              <w:rPr>
                <w:rFonts w:ascii="仿宋" w:hAnsi="仿宋" w:eastAsia="仿宋" w:cs="仿宋"/>
                <w:b/>
                <w:bCs/>
                <w:color w:val="000000"/>
                <w:szCs w:val="21"/>
              </w:rPr>
            </w:pPr>
          </w:p>
        </w:tc>
        <w:tc>
          <w:tcPr>
            <w:tcW w:w="3373" w:type="dxa"/>
            <w:vMerge w:val="continue"/>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jc w:val="center"/>
              <w:rPr>
                <w:rFonts w:ascii="仿宋" w:hAnsi="仿宋" w:eastAsia="仿宋" w:cs="仿宋"/>
                <w:b/>
                <w:bCs/>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jc w:val="center"/>
              <w:rPr>
                <w:rFonts w:ascii="仿宋" w:hAnsi="仿宋" w:eastAsia="仿宋" w:cs="仿宋"/>
                <w:b/>
                <w:bCs/>
                <w:color w:val="000000"/>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kern w:val="0"/>
                <w:szCs w:val="21"/>
                <w:lang w:bidi="ar"/>
              </w:rPr>
            </w:pPr>
            <w:r>
              <w:rPr>
                <w:rFonts w:hint="eastAsia" w:ascii="仿宋" w:hAnsi="仿宋" w:eastAsia="仿宋" w:cs="仿宋"/>
                <w:b/>
                <w:bCs/>
                <w:color w:val="000000"/>
                <w:kern w:val="0"/>
                <w:szCs w:val="21"/>
                <w:lang w:bidi="ar"/>
              </w:rPr>
              <w:t>2023年</w:t>
            </w:r>
          </w:p>
        </w:tc>
        <w:tc>
          <w:tcPr>
            <w:tcW w:w="0" w:type="auto"/>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2024年</w:t>
            </w:r>
          </w:p>
        </w:tc>
        <w:tc>
          <w:tcPr>
            <w:tcW w:w="0" w:type="auto"/>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2025年</w:t>
            </w:r>
          </w:p>
        </w:tc>
      </w:tr>
      <w:tr>
        <w:tblPrEx>
          <w:tblCellMar>
            <w:top w:w="15" w:type="dxa"/>
            <w:left w:w="15" w:type="dxa"/>
            <w:bottom w:w="15" w:type="dxa"/>
            <w:right w:w="15" w:type="dxa"/>
          </w:tblCellMar>
        </w:tblPrEx>
        <w:trPr>
          <w:trHeight w:val="450" w:hRule="atLeast"/>
          <w:jc w:val="center"/>
        </w:trPr>
        <w:tc>
          <w:tcPr>
            <w:tcW w:w="96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Cs w:val="21"/>
              </w:rPr>
            </w:pPr>
            <w:r>
              <w:rPr>
                <w:rFonts w:hint="eastAsia" w:ascii="仿宋" w:hAnsi="仿宋" w:eastAsia="仿宋" w:cs="仿宋"/>
                <w:b/>
                <w:bCs/>
                <w:color w:val="000000"/>
                <w:szCs w:val="21"/>
              </w:rPr>
              <w:t>深入1+X证书制度试点，优化课程体系</w:t>
            </w:r>
          </w:p>
        </w:tc>
        <w:tc>
          <w:tcPr>
            <w:tcW w:w="3373" w:type="dxa"/>
            <w:tcBorders>
              <w:top w:val="single" w:color="000000" w:sz="4" w:space="0"/>
              <w:left w:val="single" w:color="000000" w:sz="4" w:space="0"/>
              <w:bottom w:val="single" w:color="000000" w:sz="4" w:space="0"/>
              <w:right w:val="single" w:color="000000" w:sz="4" w:space="0"/>
            </w:tcBorders>
            <w:vAlign w:val="center"/>
          </w:tcPr>
          <w:p>
            <w:pPr>
              <w:jc w:val="left"/>
              <w:rPr>
                <w:rFonts w:ascii="仿宋" w:hAnsi="仿宋" w:eastAsia="仿宋" w:cs="仿宋"/>
                <w:color w:val="000000"/>
                <w:szCs w:val="21"/>
              </w:rPr>
            </w:pPr>
            <w:r>
              <w:rPr>
                <w:rFonts w:hint="eastAsia" w:ascii="仿宋" w:hAnsi="仿宋" w:eastAsia="仿宋" w:cs="仿宋"/>
                <w:color w:val="000000"/>
                <w:szCs w:val="21"/>
              </w:rPr>
              <w:t>全面优化1+X</w:t>
            </w:r>
            <w:r>
              <w:rPr>
                <w:rFonts w:hint="eastAsia" w:ascii="MS Mincho" w:hAnsi="MS Mincho" w:eastAsia="MS Mincho" w:cs="MS Mincho"/>
                <w:color w:val="000000"/>
                <w:szCs w:val="21"/>
              </w:rPr>
              <w:t>‛</w:t>
            </w:r>
            <w:r>
              <w:rPr>
                <w:rFonts w:hint="eastAsia" w:ascii="仿宋" w:hAnsi="仿宋" w:eastAsia="仿宋" w:cs="仿宋"/>
                <w:color w:val="000000"/>
                <w:szCs w:val="21"/>
              </w:rPr>
              <w:t>证书的配套制度，完善学分银行制度、学分互认</w:t>
            </w:r>
            <w:r>
              <w:rPr>
                <w:rFonts w:hint="eastAsia" w:ascii="仿宋" w:hAnsi="仿宋" w:eastAsia="仿宋" w:cs="仿宋"/>
                <w:color w:val="000000"/>
                <w:szCs w:val="21"/>
                <w:lang w:eastAsia="zh-CN"/>
              </w:rPr>
              <w:t>制度</w:t>
            </w:r>
            <w:r>
              <w:rPr>
                <w:rFonts w:hint="eastAsia" w:ascii="仿宋" w:hAnsi="仿宋" w:eastAsia="仿宋" w:cs="仿宋"/>
                <w:color w:val="000000"/>
                <w:szCs w:val="21"/>
              </w:rPr>
              <w:t>等； 联合研究机构、第三方机构及企业，开发职业技能等级标准，力争新增参与2个职业技能等级标准；各专业群对接职业技能等级标准，进行课程设计，实现课证融通；主动与职业教育培训评价组织开展合作，通过建立标准与完备的软硬件条件，在5个专业群中构建职业技能等级证书培训与评价的省级基地。</w:t>
            </w:r>
          </w:p>
        </w:tc>
        <w:tc>
          <w:tcPr>
            <w:tcW w:w="0" w:type="auto"/>
            <w:tcBorders>
              <w:top w:val="single" w:color="000000" w:sz="4" w:space="0"/>
              <w:left w:val="single" w:color="000000" w:sz="4" w:space="0"/>
              <w:bottom w:val="single" w:color="000000" w:sz="4" w:space="0"/>
              <w:right w:val="single" w:color="000000" w:sz="4" w:space="0"/>
            </w:tcBorders>
            <w:vAlign w:val="center"/>
          </w:tcPr>
          <w:p>
            <w:pPr>
              <w:jc w:val="left"/>
              <w:rPr>
                <w:rFonts w:ascii="仿宋" w:hAnsi="仿宋" w:eastAsia="仿宋" w:cs="仿宋"/>
                <w:color w:val="000000"/>
                <w:szCs w:val="21"/>
              </w:rPr>
            </w:pPr>
            <w:r>
              <w:rPr>
                <w:rFonts w:hint="eastAsia" w:ascii="仿宋" w:hAnsi="仿宋" w:eastAsia="仿宋" w:cs="仿宋"/>
                <w:color w:val="000000"/>
                <w:szCs w:val="21"/>
              </w:rPr>
              <w:t>到2025年实现专业群课程体系100%做到书证融通，形成一套完善的“学分银行”体系，1+X证书试点专业毕业生多技能证书获取率超过80%，力争新增参与开发5个职业技能等级标准，推进2个多证书评价综合基地建设。</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Cs w:val="21"/>
              </w:rPr>
            </w:pPr>
            <w:r>
              <w:rPr>
                <w:rFonts w:hint="eastAsia" w:ascii="仿宋" w:hAnsi="仿宋" w:eastAsia="仿宋" w:cs="仿宋"/>
                <w:color w:val="000000"/>
                <w:szCs w:val="21"/>
              </w:rPr>
              <w:t>2</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Cs w:val="21"/>
              </w:rPr>
            </w:pPr>
            <w:r>
              <w:rPr>
                <w:rFonts w:hint="eastAsia" w:ascii="仿宋" w:hAnsi="仿宋" w:eastAsia="仿宋" w:cs="仿宋"/>
                <w:color w:val="000000"/>
                <w:szCs w:val="21"/>
              </w:rPr>
              <w:t>15</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Cs w:val="21"/>
              </w:rPr>
            </w:pPr>
            <w:r>
              <w:rPr>
                <w:rFonts w:hint="eastAsia" w:ascii="仿宋" w:hAnsi="仿宋" w:eastAsia="仿宋" w:cs="仿宋"/>
                <w:color w:val="000000"/>
                <w:szCs w:val="21"/>
              </w:rPr>
              <w:t>15</w:t>
            </w:r>
          </w:p>
        </w:tc>
      </w:tr>
    </w:tbl>
    <w:p/>
    <w:p>
      <w:pPr>
        <w:pStyle w:val="4"/>
      </w:pPr>
      <w:bookmarkStart w:id="53" w:name="_Toc164347843"/>
      <w:r>
        <w:rPr>
          <w:rFonts w:hint="eastAsia"/>
        </w:rPr>
        <w:t>6.创新创业与专业教育融合发展项目</w:t>
      </w:r>
      <w:bookmarkEnd w:id="53"/>
    </w:p>
    <w:p>
      <w:pPr>
        <w:pStyle w:val="5"/>
        <w:ind w:firstLine="562"/>
      </w:pPr>
      <w:r>
        <w:rPr>
          <w:rFonts w:hint="eastAsia"/>
        </w:rPr>
        <w:t>（1）必要性和可行性</w:t>
      </w:r>
    </w:p>
    <w:p>
      <w:pPr>
        <w:spacing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2018年国务院印发《关于推动创新创业高质量发展打造“双创”升级版的意见》要求有效提升高等学校的创新创业质量，以高质量的创新创业推动大学生就业的能力升级，真正解决大学生的就业难问题。促进创新创业教育与专业教育融合是新时代高职院校实施创新创业教育的内在需要，也是高职院校为社会培养创新型技术技能人才的客观要求。高职院校将创新创业教育和专业教育的深度融合对提高整体教学质量和效率有着积极影响，在专业教育中深度融合创新创业教育，开展创新创业活动，能激发学生学习的兴趣，从而提高学生的学习能力，让学生掌握高效的学习方式，从而使学生的学习效率大大提高，增加社会竞争硬实力，为今后的创业就业之路带来积极影响。</w:t>
      </w:r>
    </w:p>
    <w:p>
      <w:pPr>
        <w:spacing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学校2022年12月，在市科技局、教育局的大力支持下，积极整合学校和地方力量开展“省级大学科技园”申报工作。最终，我校大学科技园在众多申报单位中脱颖而出，成功获评成为惠州市第二个省级大学科技园。目前惠州工程职业学院大学科技园总占地面积 9121平方米，其中在孵企业场地面积5656平方米。大学科技园建有企业孵化中心、工程众创中心、海尔校企协同创新创业中心、智能制造研发中心等，设有专门的运营管理机构，能支撑学校创新创业与专业教育融合。</w:t>
      </w:r>
    </w:p>
    <w:p>
      <w:pPr>
        <w:pStyle w:val="5"/>
        <w:ind w:firstLine="562"/>
      </w:pPr>
      <w:r>
        <w:rPr>
          <w:rFonts w:hint="eastAsia"/>
        </w:rPr>
        <w:t>（2）拟解决的关键问题</w:t>
      </w:r>
    </w:p>
    <w:p>
      <w:pPr>
        <w:spacing w:line="540" w:lineRule="exact"/>
        <w:ind w:firstLine="560" w:firstLineChars="200"/>
        <w:rPr>
          <w:rFonts w:ascii="仿宋" w:hAnsi="仿宋" w:eastAsia="仿宋" w:cs="仿宋"/>
          <w:b/>
          <w:bCs/>
          <w:sz w:val="28"/>
          <w:szCs w:val="28"/>
        </w:rPr>
      </w:pPr>
      <w:r>
        <w:rPr>
          <w:rFonts w:hint="eastAsia" w:ascii="仿宋" w:hAnsi="仿宋" w:eastAsia="仿宋" w:cs="仿宋"/>
          <w:bCs/>
          <w:sz w:val="28"/>
          <w:szCs w:val="28"/>
        </w:rPr>
        <w:t>针对高职院校对创新创业教育的教育路径模糊、教育介质匮乏等问题，我校深入落实党中央、国务院关于深化高校创新创业教育改革的决策部署，通过修订人才培养方案、打造创新创业教育课程体系、强化实践教学和创新创业竞赛、开展创新创业实践等方面提升创新创业教育质量，着力构建“四维度、四阶段、四融合”创新创业教育体系，努力培养大批富有创新精神、勇于投身实践的创新创业人才队伍。</w:t>
      </w:r>
    </w:p>
    <w:p>
      <w:pPr>
        <w:pStyle w:val="5"/>
        <w:ind w:firstLine="562"/>
      </w:pPr>
      <w:r>
        <w:rPr>
          <w:rFonts w:hint="eastAsia"/>
        </w:rPr>
        <w:t>（3）建设目标</w:t>
      </w:r>
    </w:p>
    <w:p>
      <w:pPr>
        <w:spacing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构建“四维度、四阶段、四融合”创新创业教育体系，全面落实立德树人根本任务，围绕服务地方创新发展、企业创新发展，努力将创新创业教育贯穿教育教学全过程，推动创新创业专门课程、创新创业品牌孵化基地和协同创新创业教育平台建设取得显著成效，成为省内创新创业教育改革新高地，为大湾区电子信息、智能智造等产业培养创新型高素质技术技能人才。建成具有示范性的创新创业教育孵化平台，培育孵化创新创业项目5项，获得“互联网+”“挑战杯”“创青春”等创新创业大赛国家级奖励1项、省级奖励10项，大学生自主创业或创办企业15家。建成以大学科技园为中心的政校企协同创新平台，在大湾区中起到积极的引领示范作用。</w:t>
      </w:r>
    </w:p>
    <w:p>
      <w:pPr>
        <w:pStyle w:val="5"/>
        <w:ind w:firstLine="562"/>
        <w:rPr>
          <w:rFonts w:ascii="仿宋" w:hAnsi="仿宋" w:cs="仿宋"/>
          <w:bCs/>
        </w:rPr>
      </w:pPr>
      <w:r>
        <w:rPr>
          <w:rFonts w:hint="eastAsia"/>
        </w:rPr>
        <w:t>（4）重点建设任务</w:t>
      </w:r>
    </w:p>
    <w:p>
      <w:pPr>
        <w:spacing w:line="540" w:lineRule="exact"/>
        <w:ind w:firstLine="562" w:firstLineChars="200"/>
        <w:rPr>
          <w:rFonts w:ascii="仿宋" w:hAnsi="仿宋" w:eastAsia="仿宋" w:cs="仿宋"/>
          <w:b/>
          <w:sz w:val="28"/>
          <w:szCs w:val="28"/>
        </w:rPr>
      </w:pPr>
      <w:r>
        <w:rPr>
          <w:rFonts w:hint="eastAsia" w:ascii="仿宋" w:hAnsi="仿宋" w:eastAsia="仿宋" w:cs="仿宋"/>
          <w:b/>
          <w:sz w:val="28"/>
          <w:szCs w:val="28"/>
        </w:rPr>
        <w:t>① 以研究为导向，构建“四维度”创新创业教育理论体系​</w:t>
      </w:r>
    </w:p>
    <w:p>
      <w:pPr>
        <w:spacing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通过开展创新创业教育相关课题研究，构建了“四维度”创新创业教育理论体系。在教师维度营造创新创业教育的文化氛围，建设专职队伍和协同合作机制；在学生维度依据创新创业教育中学生个性差异、层次化需求、能力性需求、资源需求等进行课堂革命；在时间维度结合阶段性特征、关联性特征、实时性特征、匹配性特征和可持续发展性特征等进行自适应式创新创业教育；在空间维度研究了在教学内容与教学设计中实施深层次创新创业教育、与专业教育的协同培养、建设创新创业工作室和大学科技园等。</w:t>
      </w:r>
    </w:p>
    <w:p>
      <w:pPr>
        <w:spacing w:line="540" w:lineRule="exact"/>
        <w:ind w:firstLine="562" w:firstLineChars="200"/>
        <w:rPr>
          <w:rFonts w:ascii="仿宋" w:hAnsi="仿宋" w:eastAsia="仿宋" w:cs="仿宋"/>
          <w:b/>
          <w:sz w:val="28"/>
          <w:szCs w:val="28"/>
        </w:rPr>
      </w:pPr>
      <w:r>
        <w:rPr>
          <w:rFonts w:hint="eastAsia" w:ascii="仿宋" w:hAnsi="仿宋" w:eastAsia="仿宋" w:cs="仿宋"/>
          <w:b/>
          <w:sz w:val="28"/>
          <w:szCs w:val="28"/>
        </w:rPr>
        <w:t>② 以培养为根基，构建“四阶段”创新创业教育教学体系</w:t>
      </w:r>
    </w:p>
    <w:p>
      <w:pPr>
        <w:spacing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以“四维度”创新创业教育理论体系为基础，构建了“四阶段”创新创业教育教学体系。通识教育阶段，通过聘请校内外创新创业教育和实践专家开展讲座、开设创新创业教育必修课，深化学生对创新创业教育的认知和理解；虚拟演练教育阶段，以专业教育与创新创业教育“双向嵌入”为主、课堂教学与创新创业竞赛相结合为辅，使学生在虚拟创新创业演练中得到更为直观</w:t>
      </w:r>
      <w:r>
        <w:rPr>
          <w:rFonts w:hint="eastAsia" w:ascii="仿宋" w:hAnsi="仿宋" w:eastAsia="仿宋" w:cs="仿宋"/>
          <w:bCs/>
          <w:sz w:val="28"/>
          <w:szCs w:val="28"/>
          <w:lang w:eastAsia="zh-CN"/>
        </w:rPr>
        <w:t>地</w:t>
      </w:r>
      <w:r>
        <w:rPr>
          <w:rFonts w:hint="eastAsia" w:ascii="仿宋" w:hAnsi="仿宋" w:eastAsia="仿宋" w:cs="仿宋"/>
          <w:bCs/>
          <w:sz w:val="28"/>
          <w:szCs w:val="28"/>
        </w:rPr>
        <w:t>理解；校内实践教育阶段，采取“项目+工作室+实习”三者相结合的方式，为学生模拟创新创业和开展创业实践营造条件；校外实创阶段，依托“互联网+”模式构建创新创业教育课程资源库、虚拟社区、校友会等交流平台，为初创毕业生提供所需资源、给予必要辅导和专业技术支持。</w:t>
      </w:r>
    </w:p>
    <w:p>
      <w:pPr>
        <w:spacing w:line="540" w:lineRule="exact"/>
        <w:ind w:firstLine="562" w:firstLineChars="200"/>
        <w:rPr>
          <w:rFonts w:ascii="仿宋" w:hAnsi="仿宋" w:eastAsia="仿宋" w:cs="仿宋"/>
          <w:b/>
          <w:sz w:val="28"/>
          <w:szCs w:val="28"/>
        </w:rPr>
      </w:pPr>
      <w:r>
        <w:rPr>
          <w:rFonts w:hint="eastAsia" w:ascii="仿宋" w:hAnsi="仿宋" w:eastAsia="仿宋" w:cs="仿宋"/>
          <w:b/>
          <w:sz w:val="28"/>
          <w:szCs w:val="28"/>
        </w:rPr>
        <w:t>③ 以课程建设为抓手，构建“四融合”创新创业教育课程体系</w:t>
      </w:r>
    </w:p>
    <w:p>
      <w:pPr>
        <w:spacing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对应“四阶段”的分步实施，建设“四融合”创新创业教育课程体系。以“思创融合”为引导，将创新创业教育与思政教育有机融合，借助通识类课程，让创新创业教育成为展示理想信念和践行社会主义核心价值观的新平台；以“专创融合”为基础，依托专创融合教育改革研究室，建成创新创业教育专门化课程，进行“理论+实践”“第一课堂+第二课堂”的“双线双模块”教学改革；以“赛创融合”为抓手，将创新创业实践课程项目开发成学生参赛项目，鼓励学生积极参加创新创业大赛、技能大赛及大学生科技创新活动，真正实现课赛一体的创新创业能力培养；以“科创融合”为驱动，组建专项技术创新团队，开发创新创业实训类课程，鼓励学生在第二课堂中积极参与教师的项目研究、专利开发以及科技成果转化，为学生创新创业提供扎实的技术支撑和展示平台。</w:t>
      </w:r>
    </w:p>
    <w:p>
      <w:pPr>
        <w:pStyle w:val="5"/>
        <w:ind w:firstLine="562"/>
      </w:pPr>
      <w:r>
        <w:rPr>
          <w:rFonts w:hint="eastAsia"/>
        </w:rPr>
        <w:t>（5）建设计划</w:t>
      </w:r>
    </w:p>
    <w:tbl>
      <w:tblPr>
        <w:tblStyle w:val="17"/>
        <w:tblpPr w:leftFromText="181" w:rightFromText="181" w:vertAnchor="text" w:horzAnchor="page" w:tblpXSpec="center" w:tblpY="1"/>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3363"/>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704" w:type="dxa"/>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lang w:eastAsia="en-US"/>
              </w:rPr>
            </w:pPr>
            <w:r>
              <w:rPr>
                <w:rFonts w:hint="eastAsia" w:ascii="仿宋" w:hAnsi="仿宋" w:eastAsia="仿宋" w:cs="仿宋"/>
                <w:b/>
                <w:bCs/>
                <w:color w:val="000000"/>
                <w:kern w:val="0"/>
                <w:szCs w:val="21"/>
                <w:lang w:eastAsia="en-US"/>
              </w:rPr>
              <w:t>年度</w:t>
            </w:r>
          </w:p>
        </w:tc>
        <w:tc>
          <w:tcPr>
            <w:tcW w:w="1704" w:type="dxa"/>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lang w:eastAsia="en-US"/>
              </w:rPr>
            </w:pPr>
            <w:r>
              <w:rPr>
                <w:rFonts w:hint="eastAsia" w:ascii="仿宋" w:hAnsi="仿宋" w:eastAsia="仿宋" w:cs="仿宋"/>
                <w:b/>
                <w:bCs/>
                <w:color w:val="000000"/>
                <w:kern w:val="0"/>
                <w:szCs w:val="21"/>
                <w:lang w:eastAsia="en-US"/>
              </w:rPr>
              <w:t>建设任务</w:t>
            </w:r>
          </w:p>
        </w:tc>
        <w:tc>
          <w:tcPr>
            <w:tcW w:w="3363" w:type="dxa"/>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lang w:eastAsia="en-US"/>
              </w:rPr>
            </w:pPr>
            <w:r>
              <w:rPr>
                <w:rFonts w:hint="eastAsia" w:ascii="仿宋" w:hAnsi="仿宋" w:eastAsia="仿宋" w:cs="仿宋"/>
                <w:b/>
                <w:bCs/>
                <w:color w:val="000000"/>
                <w:kern w:val="0"/>
                <w:szCs w:val="21"/>
                <w:lang w:eastAsia="en-US"/>
              </w:rPr>
              <w:t>建设内容</w:t>
            </w:r>
          </w:p>
        </w:tc>
        <w:tc>
          <w:tcPr>
            <w:tcW w:w="1559" w:type="dxa"/>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lang w:eastAsia="en-US"/>
              </w:rPr>
            </w:pPr>
            <w:r>
              <w:rPr>
                <w:rFonts w:hint="eastAsia" w:ascii="仿宋" w:hAnsi="仿宋" w:eastAsia="仿宋" w:cs="仿宋"/>
                <w:b/>
                <w:bCs/>
                <w:color w:val="000000"/>
                <w:kern w:val="0"/>
                <w:szCs w:val="21"/>
                <w:lang w:eastAsia="en-US"/>
              </w:rPr>
              <w:t>负责部门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2023</w:t>
            </w:r>
          </w:p>
        </w:tc>
        <w:tc>
          <w:tcPr>
            <w:tcW w:w="1704" w:type="dxa"/>
            <w:vAlign w:val="center"/>
          </w:tcPr>
          <w:p>
            <w:pPr>
              <w:jc w:val="both"/>
              <w:rPr>
                <w:rFonts w:ascii="仿宋" w:hAnsi="仿宋" w:eastAsia="仿宋" w:cs="仿宋"/>
                <w:color w:val="000000"/>
                <w:szCs w:val="21"/>
              </w:rPr>
            </w:pPr>
            <w:r>
              <w:rPr>
                <w:rFonts w:hint="eastAsia" w:ascii="仿宋" w:hAnsi="仿宋" w:eastAsia="仿宋" w:cs="仿宋"/>
                <w:color w:val="000000"/>
                <w:szCs w:val="21"/>
              </w:rPr>
              <w:t>构建“四维度、四阶段、四融合”创新创业教育体系</w:t>
            </w:r>
          </w:p>
        </w:tc>
        <w:tc>
          <w:tcPr>
            <w:tcW w:w="3363" w:type="dxa"/>
            <w:vAlign w:val="center"/>
          </w:tcPr>
          <w:p>
            <w:pPr>
              <w:jc w:val="both"/>
              <w:rPr>
                <w:rFonts w:ascii="仿宋" w:hAnsi="仿宋" w:eastAsia="仿宋" w:cs="仿宋"/>
                <w:color w:val="000000"/>
                <w:szCs w:val="21"/>
              </w:rPr>
            </w:pPr>
            <w:r>
              <w:rPr>
                <w:rFonts w:hint="eastAsia" w:ascii="仿宋" w:hAnsi="仿宋" w:eastAsia="仿宋" w:cs="仿宋"/>
                <w:color w:val="000000"/>
                <w:szCs w:val="21"/>
              </w:rPr>
              <w:t>校内实践教育阶段，采取“项目+工作室+实习”三者相结合的方式，为学生模拟创新创业和开展创业实践营造条件；校外实创阶段，依托“互联网+”模式构建创新创业教育课程资源库、虚拟社区、校友会等交流平台</w:t>
            </w:r>
          </w:p>
        </w:tc>
        <w:tc>
          <w:tcPr>
            <w:tcW w:w="1559" w:type="dxa"/>
            <w:vAlign w:val="center"/>
          </w:tcPr>
          <w:p>
            <w:pPr>
              <w:jc w:val="both"/>
              <w:rPr>
                <w:rFonts w:ascii="仿宋" w:hAnsi="仿宋" w:eastAsia="仿宋" w:cs="仿宋"/>
                <w:color w:val="000000"/>
                <w:szCs w:val="21"/>
              </w:rPr>
            </w:pPr>
            <w:r>
              <w:rPr>
                <w:rFonts w:hint="eastAsia" w:ascii="仿宋" w:hAnsi="仿宋" w:eastAsia="仿宋" w:cs="仿宋"/>
                <w:color w:val="000000"/>
                <w:szCs w:val="21"/>
              </w:rPr>
              <w:t>创新创业学院、各二级学院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2024</w:t>
            </w:r>
          </w:p>
        </w:tc>
        <w:tc>
          <w:tcPr>
            <w:tcW w:w="1704" w:type="dxa"/>
            <w:vAlign w:val="center"/>
          </w:tcPr>
          <w:p>
            <w:pPr>
              <w:jc w:val="both"/>
              <w:rPr>
                <w:rFonts w:ascii="仿宋" w:hAnsi="仿宋" w:eastAsia="仿宋" w:cs="仿宋"/>
                <w:color w:val="000000"/>
                <w:szCs w:val="21"/>
              </w:rPr>
            </w:pPr>
            <w:r>
              <w:rPr>
                <w:rFonts w:hint="eastAsia" w:ascii="仿宋" w:hAnsi="仿宋" w:eastAsia="仿宋" w:cs="仿宋"/>
                <w:color w:val="000000"/>
                <w:szCs w:val="21"/>
              </w:rPr>
              <w:t>建成具有示范性的创新创业教育孵化平台</w:t>
            </w:r>
          </w:p>
        </w:tc>
        <w:tc>
          <w:tcPr>
            <w:tcW w:w="3363" w:type="dxa"/>
            <w:vAlign w:val="center"/>
          </w:tcPr>
          <w:p>
            <w:pPr>
              <w:jc w:val="both"/>
              <w:rPr>
                <w:rFonts w:ascii="仿宋" w:hAnsi="仿宋" w:eastAsia="仿宋" w:cs="仿宋"/>
                <w:color w:val="000000"/>
                <w:szCs w:val="21"/>
              </w:rPr>
            </w:pPr>
            <w:r>
              <w:rPr>
                <w:rFonts w:hint="eastAsia" w:ascii="仿宋" w:hAnsi="仿宋" w:eastAsia="仿宋" w:cs="仿宋"/>
                <w:color w:val="000000"/>
                <w:szCs w:val="21"/>
              </w:rPr>
              <w:t>培育孵化创新创业项目5项，获得“互联网+”“挑战杯”“创青春”等创新创业大赛国家级奖励1项、省级奖励10项，大学生自主创业或创办企业15家。</w:t>
            </w:r>
          </w:p>
        </w:tc>
        <w:tc>
          <w:tcPr>
            <w:tcW w:w="1559" w:type="dxa"/>
            <w:vAlign w:val="center"/>
          </w:tcPr>
          <w:p>
            <w:pPr>
              <w:jc w:val="both"/>
              <w:rPr>
                <w:rFonts w:ascii="仿宋" w:hAnsi="仿宋" w:eastAsia="仿宋" w:cs="仿宋"/>
                <w:color w:val="000000"/>
                <w:szCs w:val="21"/>
              </w:rPr>
            </w:pPr>
            <w:r>
              <w:rPr>
                <w:rFonts w:hint="eastAsia" w:ascii="仿宋" w:hAnsi="仿宋" w:eastAsia="仿宋" w:cs="仿宋"/>
                <w:color w:val="000000"/>
                <w:szCs w:val="21"/>
              </w:rPr>
              <w:t>创新创业学院、各二级学院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2025</w:t>
            </w:r>
          </w:p>
        </w:tc>
        <w:tc>
          <w:tcPr>
            <w:tcW w:w="1704" w:type="dxa"/>
            <w:vAlign w:val="center"/>
          </w:tcPr>
          <w:p>
            <w:pPr>
              <w:jc w:val="both"/>
              <w:rPr>
                <w:rFonts w:ascii="仿宋" w:hAnsi="仿宋" w:eastAsia="仿宋" w:cs="仿宋"/>
                <w:color w:val="000000"/>
                <w:szCs w:val="21"/>
              </w:rPr>
            </w:pPr>
            <w:r>
              <w:rPr>
                <w:rFonts w:hint="eastAsia" w:ascii="仿宋" w:hAnsi="仿宋" w:eastAsia="仿宋" w:cs="仿宋"/>
                <w:color w:val="000000"/>
                <w:szCs w:val="21"/>
              </w:rPr>
              <w:t>建成以大学科技园为中心的政校企协同创新平台</w:t>
            </w:r>
          </w:p>
        </w:tc>
        <w:tc>
          <w:tcPr>
            <w:tcW w:w="3363" w:type="dxa"/>
            <w:vAlign w:val="center"/>
          </w:tcPr>
          <w:p>
            <w:pPr>
              <w:jc w:val="both"/>
              <w:rPr>
                <w:rFonts w:ascii="仿宋" w:hAnsi="仿宋" w:eastAsia="仿宋" w:cs="仿宋"/>
                <w:color w:val="000000"/>
                <w:szCs w:val="21"/>
              </w:rPr>
            </w:pPr>
            <w:r>
              <w:rPr>
                <w:rFonts w:hint="eastAsia" w:ascii="仿宋" w:hAnsi="仿宋" w:eastAsia="仿宋" w:cs="仿宋"/>
                <w:color w:val="000000"/>
                <w:szCs w:val="21"/>
              </w:rPr>
              <w:t>在大湾区中起到积极的引领示范作用。</w:t>
            </w:r>
          </w:p>
        </w:tc>
        <w:tc>
          <w:tcPr>
            <w:tcW w:w="1559" w:type="dxa"/>
            <w:vAlign w:val="center"/>
          </w:tcPr>
          <w:p>
            <w:pPr>
              <w:jc w:val="both"/>
              <w:rPr>
                <w:rFonts w:ascii="仿宋" w:hAnsi="仿宋" w:eastAsia="仿宋" w:cs="仿宋"/>
                <w:color w:val="000000"/>
                <w:szCs w:val="21"/>
              </w:rPr>
            </w:pPr>
            <w:r>
              <w:rPr>
                <w:rFonts w:hint="eastAsia" w:ascii="仿宋" w:hAnsi="仿宋" w:eastAsia="仿宋" w:cs="仿宋"/>
                <w:color w:val="000000"/>
                <w:szCs w:val="21"/>
              </w:rPr>
              <w:t>创新创业学院、各二级学院</w:t>
            </w:r>
          </w:p>
        </w:tc>
      </w:tr>
    </w:tbl>
    <w:p>
      <w:pPr>
        <w:pStyle w:val="5"/>
        <w:ind w:firstLine="562"/>
      </w:pPr>
      <w:r>
        <w:rPr>
          <w:rFonts w:hint="eastAsia"/>
        </w:rPr>
        <w:t>（6）预期成效及资金测算</w:t>
      </w:r>
    </w:p>
    <w:tbl>
      <w:tblPr>
        <w:tblStyle w:val="16"/>
        <w:tblW w:w="0" w:type="auto"/>
        <w:jc w:val="center"/>
        <w:tblLayout w:type="autofit"/>
        <w:tblCellMar>
          <w:top w:w="15" w:type="dxa"/>
          <w:left w:w="15" w:type="dxa"/>
          <w:bottom w:w="15" w:type="dxa"/>
          <w:right w:w="15" w:type="dxa"/>
        </w:tblCellMar>
      </w:tblPr>
      <w:tblGrid>
        <w:gridCol w:w="630"/>
        <w:gridCol w:w="2586"/>
        <w:gridCol w:w="3668"/>
        <w:gridCol w:w="484"/>
        <w:gridCol w:w="484"/>
        <w:gridCol w:w="484"/>
      </w:tblGrid>
      <w:tr>
        <w:tblPrEx>
          <w:tblCellMar>
            <w:top w:w="15" w:type="dxa"/>
            <w:left w:w="15" w:type="dxa"/>
            <w:bottom w:w="15" w:type="dxa"/>
            <w:right w:w="15" w:type="dxa"/>
          </w:tblCellMar>
        </w:tblPrEx>
        <w:trPr>
          <w:trHeight w:val="301" w:hRule="atLeast"/>
          <w:jc w:val="center"/>
        </w:trPr>
        <w:tc>
          <w:tcPr>
            <w:tcW w:w="631" w:type="dxa"/>
            <w:vMerge w:val="restart"/>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项目名称</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主要建设内容</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预期建设成效</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建设资金安排表（万元）</w:t>
            </w:r>
          </w:p>
        </w:tc>
      </w:tr>
      <w:tr>
        <w:tblPrEx>
          <w:tblCellMar>
            <w:top w:w="15" w:type="dxa"/>
            <w:left w:w="15" w:type="dxa"/>
            <w:bottom w:w="15" w:type="dxa"/>
            <w:right w:w="15" w:type="dxa"/>
          </w:tblCellMar>
        </w:tblPrEx>
        <w:trPr>
          <w:trHeight w:val="286" w:hRule="atLeast"/>
          <w:jc w:val="center"/>
        </w:trPr>
        <w:tc>
          <w:tcPr>
            <w:tcW w:w="631" w:type="dxa"/>
            <w:vMerge w:val="continue"/>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jc w:val="center"/>
              <w:rPr>
                <w:rFonts w:ascii="仿宋" w:hAnsi="仿宋" w:eastAsia="仿宋" w:cs="仿宋"/>
                <w:b/>
                <w:bCs/>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jc w:val="center"/>
              <w:rPr>
                <w:rFonts w:ascii="仿宋" w:hAnsi="仿宋" w:eastAsia="仿宋" w:cs="仿宋"/>
                <w:b/>
                <w:bCs/>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jc w:val="center"/>
              <w:rPr>
                <w:rFonts w:ascii="仿宋" w:hAnsi="仿宋" w:eastAsia="仿宋" w:cs="仿宋"/>
                <w:b/>
                <w:bCs/>
                <w:color w:val="000000"/>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kern w:val="0"/>
                <w:szCs w:val="21"/>
                <w:lang w:bidi="ar"/>
              </w:rPr>
            </w:pPr>
            <w:r>
              <w:rPr>
                <w:rFonts w:hint="eastAsia" w:ascii="仿宋" w:hAnsi="仿宋" w:eastAsia="仿宋" w:cs="仿宋"/>
                <w:b/>
                <w:bCs/>
                <w:color w:val="000000"/>
                <w:kern w:val="0"/>
                <w:szCs w:val="21"/>
                <w:lang w:bidi="ar"/>
              </w:rPr>
              <w:t>2023年</w:t>
            </w:r>
          </w:p>
        </w:tc>
        <w:tc>
          <w:tcPr>
            <w:tcW w:w="0" w:type="auto"/>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2024年</w:t>
            </w:r>
          </w:p>
        </w:tc>
        <w:tc>
          <w:tcPr>
            <w:tcW w:w="0" w:type="auto"/>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2025年</w:t>
            </w:r>
          </w:p>
        </w:tc>
      </w:tr>
      <w:tr>
        <w:tblPrEx>
          <w:tblCellMar>
            <w:top w:w="15" w:type="dxa"/>
            <w:left w:w="15" w:type="dxa"/>
            <w:bottom w:w="15" w:type="dxa"/>
            <w:right w:w="15" w:type="dxa"/>
          </w:tblCellMar>
        </w:tblPrEx>
        <w:trPr>
          <w:trHeight w:val="450" w:hRule="atLeast"/>
          <w:jc w:val="center"/>
        </w:trPr>
        <w:tc>
          <w:tcPr>
            <w:tcW w:w="631"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Cs w:val="21"/>
              </w:rPr>
            </w:pPr>
            <w:r>
              <w:rPr>
                <w:rFonts w:hint="eastAsia" w:ascii="仿宋" w:hAnsi="仿宋" w:eastAsia="仿宋" w:cs="仿宋"/>
                <w:b/>
                <w:bCs/>
                <w:color w:val="000000"/>
                <w:szCs w:val="21"/>
              </w:rPr>
              <w:t>创新创业与专业教育融合发展项目</w:t>
            </w:r>
          </w:p>
        </w:tc>
        <w:tc>
          <w:tcPr>
            <w:tcW w:w="0" w:type="auto"/>
            <w:tcBorders>
              <w:top w:val="single" w:color="000000" w:sz="4" w:space="0"/>
              <w:left w:val="single" w:color="000000" w:sz="4" w:space="0"/>
              <w:bottom w:val="single" w:color="000000" w:sz="4" w:space="0"/>
              <w:right w:val="single" w:color="000000" w:sz="4" w:space="0"/>
            </w:tcBorders>
            <w:vAlign w:val="center"/>
          </w:tcPr>
          <w:p>
            <w:pPr>
              <w:jc w:val="left"/>
              <w:rPr>
                <w:rFonts w:ascii="仿宋" w:hAnsi="仿宋" w:eastAsia="仿宋" w:cs="仿宋"/>
                <w:color w:val="000000"/>
                <w:szCs w:val="21"/>
              </w:rPr>
            </w:pPr>
            <w:r>
              <w:rPr>
                <w:rFonts w:hint="eastAsia" w:ascii="仿宋" w:hAnsi="仿宋" w:eastAsia="仿宋" w:cs="仿宋"/>
                <w:color w:val="000000"/>
                <w:szCs w:val="21"/>
              </w:rPr>
              <w:t>通过修订人才培养方案、打造创新创业教育课程体系、强化实践教学和创新创业竞赛、开展创新创业实践等方面提升创新创业教育质量，着力构建“四维度、四阶段、四融合”创新创业教育体系，努力培养大批富有创新精神、勇于投身实践的创新创业人才队伍</w:t>
            </w:r>
          </w:p>
        </w:tc>
        <w:tc>
          <w:tcPr>
            <w:tcW w:w="0" w:type="auto"/>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仿宋"/>
                <w:color w:val="000000"/>
                <w:szCs w:val="21"/>
              </w:rPr>
            </w:pPr>
            <w:r>
              <w:rPr>
                <w:rFonts w:hint="eastAsia" w:ascii="仿宋" w:hAnsi="仿宋" w:eastAsia="仿宋" w:cs="仿宋"/>
                <w:color w:val="000000"/>
                <w:szCs w:val="21"/>
              </w:rPr>
              <w:t>将创新创业教育贯穿教育教学全过程，推动创新创业专门课程、创新创业品牌孵化基地和协同创新创业教育平台建设取得显著成效，成为省内创新创业教育改革新高地，为大湾区电子信息、智能智造等产业培养创新型高素质技术技能人才。建成具有示范性的创新创业教育孵化平台，培育孵化创新创业项目5项，获得“互联网+”“挑战杯”“创青春”等创新创业大赛国家级奖励1项、省级奖励10项，大学生自主创业或创办企业15家。建成以大学科技园为中心的政校企协同创新平台，在大湾区中起到积极的引领示范作用。</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Cs w:val="21"/>
              </w:rPr>
            </w:pPr>
            <w:r>
              <w:rPr>
                <w:rFonts w:hint="eastAsia" w:ascii="仿宋" w:hAnsi="仿宋" w:eastAsia="仿宋" w:cs="仿宋"/>
                <w:color w:val="000000"/>
                <w:szCs w:val="21"/>
              </w:rPr>
              <w:t>100</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Cs w:val="21"/>
              </w:rPr>
            </w:pPr>
            <w:r>
              <w:rPr>
                <w:rFonts w:hint="eastAsia" w:ascii="仿宋" w:hAnsi="仿宋" w:eastAsia="仿宋" w:cs="仿宋"/>
                <w:color w:val="000000"/>
                <w:szCs w:val="21"/>
              </w:rPr>
              <w:t>100</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Cs w:val="21"/>
              </w:rPr>
            </w:pPr>
            <w:r>
              <w:rPr>
                <w:rFonts w:hint="eastAsia" w:ascii="仿宋" w:hAnsi="仿宋" w:eastAsia="仿宋" w:cs="仿宋"/>
                <w:color w:val="000000"/>
                <w:szCs w:val="21"/>
              </w:rPr>
              <w:t>200</w:t>
            </w:r>
          </w:p>
        </w:tc>
      </w:tr>
    </w:tbl>
    <w:p/>
    <w:p>
      <w:pPr>
        <w:spacing w:line="540" w:lineRule="exact"/>
        <w:ind w:firstLine="643" w:firstLineChars="200"/>
        <w:outlineLvl w:val="2"/>
        <w:rPr>
          <w:rFonts w:ascii="Times New Roman" w:hAnsi="Times New Roman" w:eastAsia="仿宋" w:cs="Times New Roman"/>
          <w:b/>
          <w:sz w:val="32"/>
        </w:rPr>
      </w:pPr>
      <w:bookmarkStart w:id="54" w:name="_Toc164347844"/>
      <w:r>
        <w:rPr>
          <w:rFonts w:hint="eastAsia" w:ascii="Times New Roman" w:hAnsi="Times New Roman" w:eastAsia="仿宋" w:cs="Times New Roman"/>
          <w:b/>
          <w:sz w:val="32"/>
        </w:rPr>
        <w:t>7.校院两级教学管理改革项目</w:t>
      </w:r>
      <w:bookmarkEnd w:id="54"/>
    </w:p>
    <w:p>
      <w:pPr>
        <w:keepNext/>
        <w:keepLines/>
        <w:spacing w:line="540" w:lineRule="exact"/>
        <w:ind w:firstLine="562" w:firstLineChars="200"/>
        <w:outlineLvl w:val="3"/>
        <w:rPr>
          <w:rFonts w:ascii="Times New Roman" w:hAnsi="Times New Roman" w:eastAsia="仿宋"/>
          <w:b/>
          <w:sz w:val="28"/>
          <w:szCs w:val="28"/>
        </w:rPr>
      </w:pPr>
      <w:r>
        <w:rPr>
          <w:rFonts w:hint="eastAsia" w:ascii="Times New Roman" w:hAnsi="Times New Roman" w:eastAsia="仿宋"/>
          <w:b/>
          <w:sz w:val="28"/>
          <w:szCs w:val="28"/>
        </w:rPr>
        <w:t>（1）必要性和可行性</w:t>
      </w:r>
    </w:p>
    <w:p>
      <w:pPr>
        <w:spacing w:line="540" w:lineRule="exact"/>
        <w:ind w:firstLine="560" w:firstLineChars="200"/>
        <w:rPr>
          <w:rFonts w:ascii="仿宋" w:hAnsi="仿宋" w:eastAsia="仿宋"/>
          <w:sz w:val="28"/>
          <w:szCs w:val="28"/>
        </w:rPr>
      </w:pPr>
      <w:r>
        <w:rPr>
          <w:rFonts w:ascii="仿宋" w:hAnsi="仿宋" w:eastAsia="仿宋"/>
          <w:sz w:val="28"/>
          <w:szCs w:val="28"/>
        </w:rPr>
        <w:t>校院两级</w:t>
      </w:r>
      <w:r>
        <w:rPr>
          <w:rFonts w:hint="eastAsia" w:ascii="仿宋" w:hAnsi="仿宋" w:eastAsia="仿宋"/>
          <w:sz w:val="28"/>
          <w:szCs w:val="28"/>
        </w:rPr>
        <w:t>教学</w:t>
      </w:r>
      <w:r>
        <w:rPr>
          <w:rFonts w:ascii="仿宋" w:hAnsi="仿宋" w:eastAsia="仿宋"/>
          <w:sz w:val="28"/>
          <w:szCs w:val="28"/>
        </w:rPr>
        <w:t>管理体制改革作为推进</w:t>
      </w:r>
      <w:r>
        <w:rPr>
          <w:rFonts w:hint="eastAsia" w:ascii="仿宋" w:hAnsi="仿宋" w:eastAsia="仿宋"/>
          <w:sz w:val="28"/>
          <w:szCs w:val="28"/>
        </w:rPr>
        <w:t>职业院校</w:t>
      </w:r>
      <w:r>
        <w:rPr>
          <w:rFonts w:ascii="仿宋" w:hAnsi="仿宋" w:eastAsia="仿宋"/>
          <w:sz w:val="28"/>
          <w:szCs w:val="28"/>
        </w:rPr>
        <w:t>治理体系和治理能力现代化的关键切入点，对有效激发</w:t>
      </w:r>
      <w:r>
        <w:rPr>
          <w:rFonts w:hint="eastAsia" w:ascii="仿宋" w:hAnsi="仿宋" w:eastAsia="仿宋"/>
          <w:sz w:val="28"/>
          <w:szCs w:val="28"/>
        </w:rPr>
        <w:t>二级学院</w:t>
      </w:r>
      <w:r>
        <w:rPr>
          <w:rFonts w:ascii="仿宋" w:hAnsi="仿宋" w:eastAsia="仿宋"/>
          <w:sz w:val="28"/>
          <w:szCs w:val="28"/>
        </w:rPr>
        <w:t>办学活力、内生动力和发展潜力，推动</w:t>
      </w:r>
      <w:r>
        <w:rPr>
          <w:rFonts w:hint="eastAsia" w:ascii="仿宋" w:hAnsi="仿宋" w:eastAsia="仿宋"/>
          <w:sz w:val="28"/>
          <w:szCs w:val="28"/>
        </w:rPr>
        <w:t>职业</w:t>
      </w:r>
      <w:r>
        <w:rPr>
          <w:rFonts w:ascii="仿宋" w:hAnsi="仿宋" w:eastAsia="仿宋"/>
          <w:sz w:val="28"/>
          <w:szCs w:val="28"/>
        </w:rPr>
        <w:t>教育内涵式发展具有重要的现实意义。</w:t>
      </w:r>
      <w:r>
        <w:rPr>
          <w:rFonts w:hint="eastAsia" w:ascii="仿宋" w:hAnsi="仿宋" w:eastAsia="仿宋"/>
          <w:sz w:val="28"/>
          <w:szCs w:val="28"/>
        </w:rPr>
        <w:t>实施校院</w:t>
      </w:r>
      <w:r>
        <w:rPr>
          <w:rFonts w:ascii="仿宋" w:hAnsi="仿宋" w:eastAsia="仿宋"/>
          <w:sz w:val="28"/>
          <w:szCs w:val="28"/>
        </w:rPr>
        <w:t>两级</w:t>
      </w:r>
      <w:r>
        <w:rPr>
          <w:rFonts w:hint="eastAsia" w:ascii="仿宋" w:hAnsi="仿宋" w:eastAsia="仿宋"/>
          <w:sz w:val="28"/>
          <w:szCs w:val="28"/>
        </w:rPr>
        <w:t>教学</w:t>
      </w:r>
      <w:r>
        <w:rPr>
          <w:rFonts w:ascii="仿宋" w:hAnsi="仿宋" w:eastAsia="仿宋"/>
          <w:sz w:val="28"/>
          <w:szCs w:val="28"/>
        </w:rPr>
        <w:t>管理改革</w:t>
      </w:r>
      <w:r>
        <w:rPr>
          <w:rFonts w:hint="eastAsia" w:ascii="仿宋" w:hAnsi="仿宋" w:eastAsia="仿宋"/>
          <w:sz w:val="28"/>
          <w:szCs w:val="28"/>
        </w:rPr>
        <w:t>，有利于深化教学改革、建设和发展，提高办学水平、办学质量和办学效益，有利于校、院两级理顺关系、规范管理程序，有利于强化学校宏观决策调控、提高决策水平，有利于调动学院积极性、提高办学的自主性和管理水平，有利于学校资源得到充分利用。</w:t>
      </w:r>
    </w:p>
    <w:p>
      <w:pPr>
        <w:spacing w:line="540" w:lineRule="exact"/>
        <w:ind w:firstLine="560" w:firstLineChars="200"/>
        <w:rPr>
          <w:rFonts w:ascii="仿宋" w:hAnsi="仿宋" w:eastAsia="仿宋"/>
          <w:sz w:val="28"/>
          <w:szCs w:val="28"/>
        </w:rPr>
      </w:pPr>
      <w:r>
        <w:rPr>
          <w:rFonts w:hint="eastAsia" w:ascii="仿宋" w:hAnsi="仿宋" w:eastAsia="仿宋"/>
          <w:sz w:val="28"/>
          <w:szCs w:val="28"/>
        </w:rPr>
        <w:t>学校高度重视二级学院教学管理主动性和自主权，在2023年完成二级院系更名工作。各二级学院均建有党的基层组织，配备了必需的教学管理人员，可以确保校院两级教学管理改革的实施。</w:t>
      </w:r>
    </w:p>
    <w:p>
      <w:pPr>
        <w:keepNext/>
        <w:keepLines/>
        <w:spacing w:line="540" w:lineRule="exact"/>
        <w:ind w:firstLine="562" w:firstLineChars="200"/>
        <w:outlineLvl w:val="3"/>
        <w:rPr>
          <w:rFonts w:ascii="Times New Roman" w:hAnsi="Times New Roman" w:eastAsia="仿宋"/>
          <w:b/>
          <w:sz w:val="28"/>
          <w:szCs w:val="28"/>
        </w:rPr>
      </w:pPr>
      <w:r>
        <w:rPr>
          <w:rFonts w:hint="eastAsia" w:ascii="Times New Roman" w:hAnsi="Times New Roman" w:eastAsia="仿宋"/>
          <w:b/>
          <w:sz w:val="28"/>
          <w:szCs w:val="28"/>
        </w:rPr>
        <w:t>（2）拟解决的关键问题</w:t>
      </w:r>
    </w:p>
    <w:p>
      <w:pPr>
        <w:spacing w:line="540" w:lineRule="exact"/>
        <w:ind w:firstLine="560" w:firstLineChars="200"/>
        <w:rPr>
          <w:rFonts w:ascii="仿宋" w:hAnsi="仿宋" w:eastAsia="仿宋"/>
          <w:sz w:val="28"/>
          <w:szCs w:val="28"/>
        </w:rPr>
      </w:pPr>
      <w:r>
        <w:rPr>
          <w:rFonts w:hint="eastAsia" w:ascii="仿宋" w:hAnsi="仿宋" w:eastAsia="仿宋"/>
          <w:sz w:val="28"/>
          <w:szCs w:val="28"/>
        </w:rPr>
        <w:t>通过推行校院两级教学管理体系，健全教学管理流程，</w:t>
      </w:r>
      <w:r>
        <w:rPr>
          <w:rFonts w:ascii="仿宋" w:hAnsi="仿宋" w:eastAsia="仿宋"/>
          <w:sz w:val="28"/>
          <w:szCs w:val="28"/>
        </w:rPr>
        <w:t>以项目为载体，以专业（群）、课程（群）为平台</w:t>
      </w:r>
      <w:r>
        <w:rPr>
          <w:rFonts w:hint="eastAsia" w:ascii="仿宋" w:hAnsi="仿宋" w:eastAsia="仿宋"/>
          <w:sz w:val="28"/>
          <w:szCs w:val="28"/>
        </w:rPr>
        <w:t>探索结构化教学组织建设；成立教学工作指导委员会，形成多部门、多组织协同育人的理念；通过人才培养方案</w:t>
      </w:r>
      <w:r>
        <w:rPr>
          <w:rFonts w:hint="eastAsia" w:ascii="仿宋" w:hAnsi="仿宋" w:eastAsia="仿宋"/>
          <w:sz w:val="28"/>
          <w:szCs w:val="28"/>
          <w:lang w:eastAsia="zh-CN"/>
        </w:rPr>
        <w:t>制定</w:t>
      </w:r>
      <w:r>
        <w:rPr>
          <w:rFonts w:hint="eastAsia" w:ascii="仿宋" w:hAnsi="仿宋" w:eastAsia="仿宋"/>
          <w:sz w:val="28"/>
          <w:szCs w:val="28"/>
        </w:rPr>
        <w:t>和执行、实习和实践教学制度完善和改革、学生学籍精细化管理，为每一个学生提供个性化、精准的教育服务，促进他们的全面发展。</w:t>
      </w:r>
    </w:p>
    <w:p>
      <w:pPr>
        <w:keepNext/>
        <w:keepLines/>
        <w:spacing w:line="540" w:lineRule="exact"/>
        <w:ind w:firstLine="562" w:firstLineChars="200"/>
        <w:outlineLvl w:val="3"/>
        <w:rPr>
          <w:rFonts w:ascii="Times New Roman" w:hAnsi="Times New Roman" w:eastAsia="仿宋"/>
          <w:b/>
          <w:sz w:val="28"/>
          <w:szCs w:val="28"/>
        </w:rPr>
      </w:pPr>
      <w:r>
        <w:rPr>
          <w:rFonts w:hint="eastAsia" w:ascii="Times New Roman" w:hAnsi="Times New Roman" w:eastAsia="仿宋"/>
          <w:b/>
          <w:sz w:val="28"/>
          <w:szCs w:val="28"/>
        </w:rPr>
        <w:t>（3）建设目标</w:t>
      </w:r>
    </w:p>
    <w:p>
      <w:pPr>
        <w:spacing w:line="540" w:lineRule="exact"/>
        <w:ind w:firstLine="560" w:firstLineChars="200"/>
        <w:rPr>
          <w:rFonts w:ascii="仿宋" w:hAnsi="仿宋" w:eastAsia="仿宋"/>
          <w:sz w:val="28"/>
          <w:szCs w:val="28"/>
        </w:rPr>
      </w:pPr>
      <w:r>
        <w:rPr>
          <w:rFonts w:ascii="仿宋" w:hAnsi="仿宋" w:eastAsia="仿宋"/>
          <w:sz w:val="28"/>
          <w:szCs w:val="28"/>
        </w:rPr>
        <w:t>构建一个高效、科学、系统的</w:t>
      </w:r>
      <w:r>
        <w:rPr>
          <w:rFonts w:hint="eastAsia" w:ascii="仿宋" w:hAnsi="仿宋" w:eastAsia="仿宋"/>
          <w:sz w:val="28"/>
          <w:szCs w:val="28"/>
        </w:rPr>
        <w:t>教学</w:t>
      </w:r>
      <w:r>
        <w:rPr>
          <w:rFonts w:ascii="仿宋" w:hAnsi="仿宋" w:eastAsia="仿宋"/>
          <w:sz w:val="28"/>
          <w:szCs w:val="28"/>
        </w:rPr>
        <w:t>管理体系，以支持教育质量的持续提升和人才的全面发展</w:t>
      </w:r>
      <w:r>
        <w:rPr>
          <w:rFonts w:hint="eastAsia" w:ascii="仿宋" w:hAnsi="仿宋" w:eastAsia="仿宋"/>
          <w:sz w:val="28"/>
          <w:szCs w:val="28"/>
        </w:rPr>
        <w:t>，形成1套完成的两级教学管理体系，修订人才培养方案、实习、实践、学籍等校内制度，做好省厅教学检查工作，每年开展</w:t>
      </w:r>
      <w:r>
        <w:rPr>
          <w:rFonts w:ascii="仿宋" w:hAnsi="仿宋" w:eastAsia="仿宋"/>
          <w:sz w:val="28"/>
          <w:szCs w:val="28"/>
        </w:rPr>
        <w:t>1次各层面的诊断工作，并形成诊断报告。</w:t>
      </w:r>
    </w:p>
    <w:p>
      <w:pPr>
        <w:keepNext/>
        <w:keepLines/>
        <w:spacing w:line="540" w:lineRule="exact"/>
        <w:ind w:firstLine="562" w:firstLineChars="200"/>
        <w:outlineLvl w:val="3"/>
        <w:rPr>
          <w:rFonts w:ascii="Times New Roman" w:hAnsi="Times New Roman" w:eastAsia="仿宋"/>
          <w:b/>
          <w:sz w:val="28"/>
          <w:szCs w:val="28"/>
        </w:rPr>
      </w:pPr>
      <w:r>
        <w:rPr>
          <w:rFonts w:hint="eastAsia" w:ascii="Times New Roman" w:hAnsi="Times New Roman" w:eastAsia="仿宋"/>
          <w:b/>
          <w:sz w:val="28"/>
          <w:szCs w:val="28"/>
        </w:rPr>
        <w:t>（4）重点建设任务</w:t>
      </w:r>
    </w:p>
    <w:p>
      <w:pPr>
        <w:spacing w:line="540" w:lineRule="exact"/>
        <w:ind w:firstLine="562" w:firstLineChars="200"/>
        <w:rPr>
          <w:rFonts w:ascii="仿宋" w:hAnsi="仿宋" w:eastAsia="仿宋"/>
          <w:b/>
          <w:bCs/>
          <w:sz w:val="28"/>
          <w:szCs w:val="28"/>
        </w:rPr>
      </w:pPr>
      <w:r>
        <w:rPr>
          <w:rFonts w:hint="eastAsia" w:ascii="仿宋" w:hAnsi="仿宋" w:eastAsia="仿宋"/>
          <w:b/>
          <w:bCs/>
          <w:sz w:val="28"/>
          <w:szCs w:val="28"/>
        </w:rPr>
        <w:t xml:space="preserve">① </w:t>
      </w:r>
      <w:r>
        <w:rPr>
          <w:rFonts w:ascii="仿宋" w:hAnsi="仿宋" w:eastAsia="仿宋"/>
          <w:b/>
          <w:bCs/>
          <w:sz w:val="28"/>
          <w:szCs w:val="28"/>
        </w:rPr>
        <w:t>推进校院两级</w:t>
      </w:r>
      <w:r>
        <w:rPr>
          <w:rFonts w:hint="eastAsia" w:ascii="仿宋" w:hAnsi="仿宋" w:eastAsia="仿宋"/>
          <w:b/>
          <w:bCs/>
          <w:sz w:val="28"/>
          <w:szCs w:val="28"/>
        </w:rPr>
        <w:t>教学</w:t>
      </w:r>
      <w:r>
        <w:rPr>
          <w:rFonts w:ascii="仿宋" w:hAnsi="仿宋" w:eastAsia="仿宋"/>
          <w:b/>
          <w:bCs/>
          <w:sz w:val="28"/>
          <w:szCs w:val="28"/>
        </w:rPr>
        <w:t>管理改革</w:t>
      </w:r>
    </w:p>
    <w:p>
      <w:pPr>
        <w:spacing w:line="540" w:lineRule="exact"/>
        <w:ind w:firstLine="560" w:firstLineChars="200"/>
        <w:rPr>
          <w:rFonts w:ascii="仿宋" w:hAnsi="仿宋" w:eastAsia="仿宋"/>
          <w:sz w:val="28"/>
          <w:szCs w:val="28"/>
        </w:rPr>
      </w:pPr>
      <w:r>
        <w:rPr>
          <w:rFonts w:ascii="仿宋" w:hAnsi="仿宋" w:eastAsia="仿宋"/>
          <w:sz w:val="28"/>
          <w:szCs w:val="28"/>
        </w:rPr>
        <w:t>落实职业教育领域“放管服”改革的各项要求，制订《校院两级</w:t>
      </w:r>
      <w:r>
        <w:rPr>
          <w:rFonts w:hint="eastAsia" w:ascii="仿宋" w:hAnsi="仿宋" w:eastAsia="仿宋"/>
          <w:sz w:val="28"/>
          <w:szCs w:val="28"/>
        </w:rPr>
        <w:t>教学</w:t>
      </w:r>
      <w:r>
        <w:rPr>
          <w:rFonts w:ascii="仿宋" w:hAnsi="仿宋" w:eastAsia="仿宋"/>
          <w:sz w:val="28"/>
          <w:szCs w:val="28"/>
        </w:rPr>
        <w:t>管理实施办法》及相关配套制度，明确校院两级的</w:t>
      </w:r>
      <w:r>
        <w:rPr>
          <w:rFonts w:hint="eastAsia" w:ascii="仿宋" w:hAnsi="仿宋" w:eastAsia="仿宋"/>
          <w:sz w:val="28"/>
          <w:szCs w:val="28"/>
        </w:rPr>
        <w:t>教学管理中的</w:t>
      </w:r>
      <w:r>
        <w:rPr>
          <w:rFonts w:ascii="仿宋" w:hAnsi="仿宋" w:eastAsia="仿宋"/>
          <w:sz w:val="28"/>
          <w:szCs w:val="28"/>
        </w:rPr>
        <w:t>责任和权力，为实施校院两级</w:t>
      </w:r>
      <w:r>
        <w:rPr>
          <w:rFonts w:hint="eastAsia" w:ascii="仿宋" w:hAnsi="仿宋" w:eastAsia="仿宋"/>
          <w:sz w:val="28"/>
          <w:szCs w:val="28"/>
        </w:rPr>
        <w:t>教学</w:t>
      </w:r>
      <w:r>
        <w:rPr>
          <w:rFonts w:ascii="仿宋" w:hAnsi="仿宋" w:eastAsia="仿宋"/>
          <w:sz w:val="28"/>
          <w:szCs w:val="28"/>
        </w:rPr>
        <w:t>管理提供政策环境和制度保障。健全</w:t>
      </w:r>
      <w:r>
        <w:rPr>
          <w:rFonts w:hint="eastAsia" w:ascii="仿宋" w:hAnsi="仿宋" w:eastAsia="仿宋"/>
          <w:sz w:val="28"/>
          <w:szCs w:val="28"/>
        </w:rPr>
        <w:t>教学</w:t>
      </w:r>
      <w:r>
        <w:rPr>
          <w:rFonts w:ascii="仿宋" w:hAnsi="仿宋" w:eastAsia="仿宋"/>
          <w:sz w:val="28"/>
          <w:szCs w:val="28"/>
        </w:rPr>
        <w:t>考核评价机制，稳步推进校院两级</w:t>
      </w:r>
      <w:r>
        <w:rPr>
          <w:rFonts w:hint="eastAsia" w:ascii="仿宋" w:hAnsi="仿宋" w:eastAsia="仿宋"/>
          <w:sz w:val="28"/>
          <w:szCs w:val="28"/>
        </w:rPr>
        <w:t>教学</w:t>
      </w:r>
      <w:r>
        <w:rPr>
          <w:rFonts w:ascii="仿宋" w:hAnsi="仿宋" w:eastAsia="仿宋"/>
          <w:sz w:val="28"/>
          <w:szCs w:val="28"/>
        </w:rPr>
        <w:t>管理改革，使二级学院成为既充满活力又自我约束的“办学实体”。</w:t>
      </w:r>
    </w:p>
    <w:p>
      <w:pPr>
        <w:spacing w:line="540" w:lineRule="exact"/>
        <w:ind w:firstLine="562" w:firstLineChars="200"/>
        <w:rPr>
          <w:rFonts w:ascii="仿宋" w:hAnsi="仿宋" w:eastAsia="仿宋"/>
          <w:b/>
          <w:bCs/>
          <w:sz w:val="28"/>
          <w:szCs w:val="28"/>
        </w:rPr>
      </w:pPr>
      <w:r>
        <w:rPr>
          <w:rFonts w:hint="eastAsia" w:ascii="仿宋" w:hAnsi="仿宋" w:eastAsia="仿宋"/>
          <w:b/>
          <w:bCs/>
          <w:sz w:val="28"/>
          <w:szCs w:val="28"/>
        </w:rPr>
        <w:t xml:space="preserve">② </w:t>
      </w:r>
      <w:bookmarkStart w:id="55" w:name="_Hlk160017282"/>
      <w:r>
        <w:rPr>
          <w:rFonts w:ascii="仿宋" w:hAnsi="仿宋" w:eastAsia="仿宋"/>
          <w:b/>
          <w:bCs/>
          <w:sz w:val="28"/>
          <w:szCs w:val="28"/>
        </w:rPr>
        <w:t>探索结构化教学组织建设</w:t>
      </w:r>
    </w:p>
    <w:bookmarkEnd w:id="55"/>
    <w:p>
      <w:pPr>
        <w:spacing w:line="540" w:lineRule="exact"/>
        <w:ind w:firstLine="560" w:firstLineChars="200"/>
        <w:rPr>
          <w:rFonts w:ascii="仿宋" w:hAnsi="仿宋" w:eastAsia="仿宋"/>
          <w:sz w:val="28"/>
          <w:szCs w:val="28"/>
        </w:rPr>
      </w:pPr>
      <w:r>
        <w:rPr>
          <w:rFonts w:ascii="仿宋" w:hAnsi="仿宋" w:eastAsia="仿宋"/>
          <w:sz w:val="28"/>
          <w:szCs w:val="28"/>
        </w:rPr>
        <w:t>以项目为载体，以专业（群）、课程（群）为平台，建立资源共享体系，跨专业组建教师教学创新团队，促进跨专业交流与对话，实现协同创新和协同发展，打造教师命运共同体。出台《团队建设管理办法》，明确团队在专业建设、课程建设、队伍建设、科研和社会服务能力建设等方面的职责范围，建立二级学院统筹规划、职能部门归口指导的团队管理机制，构建以项目为载体，以目标为导向，以考核为激励的团队运行机制，着力培养产业急需、技艺高超的高素质技术技能人才。</w:t>
      </w:r>
    </w:p>
    <w:p>
      <w:pPr>
        <w:spacing w:line="540" w:lineRule="exact"/>
        <w:ind w:firstLine="562" w:firstLineChars="200"/>
        <w:rPr>
          <w:rFonts w:ascii="仿宋" w:hAnsi="仿宋" w:eastAsia="仿宋"/>
          <w:b/>
          <w:bCs/>
          <w:sz w:val="28"/>
          <w:szCs w:val="28"/>
        </w:rPr>
      </w:pPr>
      <w:r>
        <w:rPr>
          <w:rFonts w:hint="eastAsia" w:ascii="仿宋" w:hAnsi="仿宋" w:eastAsia="仿宋"/>
          <w:b/>
          <w:bCs/>
          <w:sz w:val="28"/>
          <w:szCs w:val="28"/>
        </w:rPr>
        <w:t>③ 成立教学工作指导委员会</w:t>
      </w:r>
    </w:p>
    <w:p>
      <w:pPr>
        <w:spacing w:line="540" w:lineRule="exact"/>
        <w:ind w:firstLine="560" w:firstLineChars="200"/>
        <w:rPr>
          <w:sz w:val="20"/>
          <w:szCs w:val="21"/>
        </w:rPr>
      </w:pPr>
      <w:r>
        <w:rPr>
          <w:rFonts w:hint="eastAsia" w:ascii="仿宋" w:hAnsi="仿宋" w:eastAsia="仿宋"/>
          <w:sz w:val="28"/>
          <w:szCs w:val="28"/>
        </w:rPr>
        <w:t>针对专业的人才培养方案、学生的学籍、实习、教材等教学管理制度，建立“惠州工程职业学院教学工作指导委员会”，制定委员会章程，形成</w:t>
      </w:r>
      <w:r>
        <w:rPr>
          <w:rFonts w:ascii="仿宋" w:hAnsi="仿宋" w:eastAsia="仿宋"/>
          <w:sz w:val="28"/>
          <w:szCs w:val="28"/>
        </w:rPr>
        <w:t>长效发展机制，做到定期汇报、定期检查、定期诊改，实现</w:t>
      </w:r>
      <w:r>
        <w:rPr>
          <w:rFonts w:hint="eastAsia" w:ascii="仿宋" w:hAnsi="仿宋" w:eastAsia="仿宋"/>
          <w:sz w:val="28"/>
          <w:szCs w:val="28"/>
        </w:rPr>
        <w:t>教学管理全过程</w:t>
      </w:r>
      <w:r>
        <w:rPr>
          <w:rFonts w:ascii="仿宋" w:hAnsi="仿宋" w:eastAsia="仿宋"/>
          <w:sz w:val="28"/>
          <w:szCs w:val="28"/>
        </w:rPr>
        <w:t>有效监控。</w:t>
      </w:r>
    </w:p>
    <w:p>
      <w:pPr>
        <w:spacing w:line="540" w:lineRule="exact"/>
        <w:ind w:firstLine="562" w:firstLineChars="200"/>
        <w:rPr>
          <w:rFonts w:ascii="仿宋" w:hAnsi="仿宋" w:eastAsia="仿宋"/>
          <w:b/>
          <w:bCs/>
          <w:sz w:val="28"/>
          <w:szCs w:val="28"/>
        </w:rPr>
      </w:pPr>
      <w:r>
        <w:rPr>
          <w:rFonts w:hint="eastAsia" w:ascii="仿宋" w:hAnsi="仿宋" w:eastAsia="仿宋"/>
          <w:b/>
          <w:bCs/>
          <w:sz w:val="28"/>
          <w:szCs w:val="28"/>
        </w:rPr>
        <w:t>④ 加强人才培养方案的修订和执行</w:t>
      </w:r>
    </w:p>
    <w:p>
      <w:pPr>
        <w:spacing w:line="540" w:lineRule="exact"/>
        <w:ind w:firstLine="560" w:firstLineChars="200"/>
        <w:rPr>
          <w:rFonts w:ascii="仿宋" w:hAnsi="仿宋" w:eastAsia="仿宋"/>
          <w:sz w:val="28"/>
          <w:szCs w:val="28"/>
        </w:rPr>
      </w:pPr>
      <w:r>
        <w:rPr>
          <w:rFonts w:hint="eastAsia" w:ascii="仿宋" w:hAnsi="仿宋" w:eastAsia="仿宋"/>
          <w:sz w:val="28"/>
          <w:szCs w:val="28"/>
        </w:rPr>
        <w:t>贯彻落实《关于职业院校专业人才培养方案制订与实施工作的指导意见》，每年通过开展专业调研活动，修订新一年人才培养方案，深度融入企业人员，形成专业建设指导委员会，严格按照人才培养方案开设课程、建设专业、优化教学团队。</w:t>
      </w:r>
    </w:p>
    <w:p>
      <w:pPr>
        <w:spacing w:line="540" w:lineRule="exact"/>
        <w:ind w:firstLine="562" w:firstLineChars="200"/>
        <w:rPr>
          <w:rFonts w:ascii="仿宋" w:hAnsi="仿宋" w:eastAsia="仿宋"/>
          <w:b/>
          <w:bCs/>
          <w:sz w:val="28"/>
          <w:szCs w:val="28"/>
        </w:rPr>
      </w:pPr>
      <w:r>
        <w:rPr>
          <w:rFonts w:hint="eastAsia" w:ascii="仿宋" w:hAnsi="仿宋" w:eastAsia="仿宋"/>
          <w:b/>
          <w:bCs/>
          <w:sz w:val="28"/>
          <w:szCs w:val="28"/>
        </w:rPr>
        <w:t>⑤ 完善</w:t>
      </w:r>
      <w:r>
        <w:rPr>
          <w:rFonts w:ascii="仿宋" w:hAnsi="仿宋" w:eastAsia="仿宋"/>
          <w:b/>
          <w:bCs/>
          <w:sz w:val="28"/>
          <w:szCs w:val="28"/>
        </w:rPr>
        <w:t>实践</w:t>
      </w:r>
      <w:r>
        <w:rPr>
          <w:rFonts w:hint="eastAsia" w:ascii="仿宋" w:hAnsi="仿宋" w:eastAsia="仿宋"/>
          <w:b/>
          <w:bCs/>
          <w:sz w:val="28"/>
          <w:szCs w:val="28"/>
        </w:rPr>
        <w:t>、实习</w:t>
      </w:r>
      <w:r>
        <w:rPr>
          <w:rFonts w:ascii="仿宋" w:hAnsi="仿宋" w:eastAsia="仿宋"/>
          <w:b/>
          <w:bCs/>
          <w:sz w:val="28"/>
          <w:szCs w:val="28"/>
        </w:rPr>
        <w:t>教学管理与评价机制</w:t>
      </w:r>
    </w:p>
    <w:p>
      <w:pPr>
        <w:spacing w:line="540" w:lineRule="exact"/>
        <w:ind w:firstLine="560" w:firstLineChars="200"/>
        <w:rPr>
          <w:rFonts w:ascii="仿宋" w:hAnsi="仿宋" w:eastAsia="仿宋"/>
          <w:sz w:val="28"/>
          <w:szCs w:val="28"/>
        </w:rPr>
      </w:pPr>
      <w:r>
        <w:rPr>
          <w:rFonts w:ascii="仿宋" w:hAnsi="仿宋" w:eastAsia="仿宋"/>
          <w:sz w:val="28"/>
          <w:szCs w:val="28"/>
        </w:rPr>
        <w:t>完善实践</w:t>
      </w:r>
      <w:r>
        <w:rPr>
          <w:rFonts w:hint="eastAsia" w:ascii="仿宋" w:hAnsi="仿宋" w:eastAsia="仿宋"/>
          <w:sz w:val="28"/>
          <w:szCs w:val="28"/>
        </w:rPr>
        <w:t>、实习</w:t>
      </w:r>
      <w:r>
        <w:rPr>
          <w:rFonts w:ascii="仿宋" w:hAnsi="仿宋" w:eastAsia="仿宋"/>
          <w:sz w:val="28"/>
          <w:szCs w:val="28"/>
        </w:rPr>
        <w:t>教学管理办法，建设实践教学管理系统。实施基于教学活动行为的智能实践管理，完善基于行为大数据的实践教学管理与评价机制，精准跟踪和分析教学过程，实现对教学过程、教学效果的智能评价，全面提升学生认知能力、合作能力、创新能力和职业能力培养，打造信息工匠。</w:t>
      </w:r>
    </w:p>
    <w:p>
      <w:pPr>
        <w:spacing w:line="540" w:lineRule="exact"/>
        <w:ind w:firstLine="562" w:firstLineChars="200"/>
        <w:rPr>
          <w:rFonts w:ascii="仿宋" w:hAnsi="仿宋" w:eastAsia="仿宋"/>
          <w:b/>
          <w:bCs/>
          <w:sz w:val="28"/>
          <w:szCs w:val="28"/>
        </w:rPr>
      </w:pPr>
      <w:r>
        <w:rPr>
          <w:rFonts w:hint="eastAsia" w:ascii="仿宋" w:hAnsi="仿宋" w:eastAsia="仿宋"/>
          <w:b/>
          <w:bCs/>
          <w:sz w:val="28"/>
          <w:szCs w:val="28"/>
        </w:rPr>
        <w:t>⑥ 精细化学生学籍管理过程</w:t>
      </w:r>
    </w:p>
    <w:p>
      <w:pPr>
        <w:spacing w:line="540" w:lineRule="exact"/>
        <w:ind w:firstLine="560" w:firstLineChars="200"/>
        <w:rPr>
          <w:rFonts w:ascii="仿宋" w:hAnsi="仿宋" w:eastAsia="仿宋"/>
          <w:sz w:val="28"/>
          <w:szCs w:val="28"/>
        </w:rPr>
      </w:pPr>
      <w:r>
        <w:rPr>
          <w:rFonts w:hint="eastAsia" w:ascii="仿宋" w:hAnsi="仿宋" w:eastAsia="仿宋"/>
          <w:sz w:val="28"/>
          <w:szCs w:val="28"/>
        </w:rPr>
        <w:t>借助数据平台等，在学生入学、转学、转专业、毕业、结业等方面，每一个环节都精心设计和管理，以确保学籍数据的准确性和完整性。通过定期的学籍审查和维护，我们及时更新学生的学籍状态，包括课程成绩、奖惩记录等，以反映学生的最新学习情况。在数据存储和保密方面，采用先进的加密技术和严格的权限控制，确保学籍数据的安全性和隐私性，为每一个学生提供个性化、精准的教育服务，促进他们的全面发展。</w:t>
      </w:r>
    </w:p>
    <w:p>
      <w:pPr>
        <w:keepNext/>
        <w:keepLines/>
        <w:spacing w:line="540" w:lineRule="exact"/>
        <w:ind w:firstLine="562" w:firstLineChars="200"/>
        <w:outlineLvl w:val="3"/>
        <w:rPr>
          <w:rFonts w:ascii="Times New Roman" w:hAnsi="Times New Roman" w:eastAsia="仿宋"/>
          <w:b/>
          <w:sz w:val="28"/>
          <w:szCs w:val="28"/>
        </w:rPr>
      </w:pPr>
      <w:r>
        <w:rPr>
          <w:rFonts w:hint="eastAsia" w:ascii="Times New Roman" w:hAnsi="Times New Roman" w:eastAsia="仿宋"/>
          <w:b/>
          <w:sz w:val="28"/>
          <w:szCs w:val="28"/>
        </w:rPr>
        <w:t>（5）建设计划</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3363"/>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704" w:type="dxa"/>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lang w:eastAsia="en-US"/>
              </w:rPr>
            </w:pPr>
            <w:r>
              <w:rPr>
                <w:rFonts w:hint="eastAsia" w:ascii="仿宋" w:hAnsi="仿宋" w:eastAsia="仿宋" w:cs="仿宋"/>
                <w:b/>
                <w:bCs/>
                <w:color w:val="000000"/>
                <w:kern w:val="0"/>
                <w:szCs w:val="21"/>
                <w:lang w:eastAsia="en-US"/>
              </w:rPr>
              <w:t>年度</w:t>
            </w:r>
          </w:p>
        </w:tc>
        <w:tc>
          <w:tcPr>
            <w:tcW w:w="1704" w:type="dxa"/>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lang w:eastAsia="en-US"/>
              </w:rPr>
            </w:pPr>
            <w:r>
              <w:rPr>
                <w:rFonts w:hint="eastAsia" w:ascii="仿宋" w:hAnsi="仿宋" w:eastAsia="仿宋" w:cs="仿宋"/>
                <w:b/>
                <w:bCs/>
                <w:color w:val="000000"/>
                <w:kern w:val="0"/>
                <w:szCs w:val="21"/>
                <w:lang w:eastAsia="en-US"/>
              </w:rPr>
              <w:t>建设任务</w:t>
            </w:r>
          </w:p>
        </w:tc>
        <w:tc>
          <w:tcPr>
            <w:tcW w:w="3363" w:type="dxa"/>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lang w:eastAsia="en-US"/>
              </w:rPr>
            </w:pPr>
            <w:r>
              <w:rPr>
                <w:rFonts w:hint="eastAsia" w:ascii="仿宋" w:hAnsi="仿宋" w:eastAsia="仿宋" w:cs="仿宋"/>
                <w:b/>
                <w:bCs/>
                <w:color w:val="000000"/>
                <w:kern w:val="0"/>
                <w:szCs w:val="21"/>
                <w:lang w:eastAsia="en-US"/>
              </w:rPr>
              <w:t>建设内容</w:t>
            </w:r>
          </w:p>
        </w:tc>
        <w:tc>
          <w:tcPr>
            <w:tcW w:w="1559" w:type="dxa"/>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lang w:eastAsia="en-US"/>
              </w:rPr>
            </w:pPr>
            <w:r>
              <w:rPr>
                <w:rFonts w:hint="eastAsia" w:ascii="仿宋" w:hAnsi="仿宋" w:eastAsia="仿宋" w:cs="仿宋"/>
                <w:b/>
                <w:bCs/>
                <w:color w:val="000000"/>
                <w:kern w:val="0"/>
                <w:szCs w:val="21"/>
                <w:lang w:eastAsia="en-US"/>
              </w:rPr>
              <w:t>负责部门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4" w:type="dxa"/>
            <w:vMerge w:val="restart"/>
            <w:vAlign w:val="center"/>
          </w:tcPr>
          <w:p>
            <w:pPr>
              <w:spacing w:line="260" w:lineRule="exact"/>
              <w:jc w:val="center"/>
              <w:rPr>
                <w:rFonts w:ascii="仿宋" w:hAnsi="仿宋" w:eastAsia="仿宋" w:cs="仿宋"/>
                <w:b/>
                <w:szCs w:val="21"/>
              </w:rPr>
            </w:pPr>
            <w:r>
              <w:rPr>
                <w:rFonts w:hint="eastAsia" w:ascii="仿宋" w:hAnsi="仿宋" w:eastAsia="仿宋" w:cs="仿宋"/>
                <w:b/>
                <w:szCs w:val="21"/>
              </w:rPr>
              <w:t>2023</w:t>
            </w:r>
          </w:p>
        </w:tc>
        <w:tc>
          <w:tcPr>
            <w:tcW w:w="1704" w:type="dxa"/>
            <w:vAlign w:val="center"/>
          </w:tcPr>
          <w:p>
            <w:pPr>
              <w:spacing w:line="260" w:lineRule="exact"/>
              <w:jc w:val="left"/>
              <w:rPr>
                <w:rFonts w:ascii="仿宋" w:hAnsi="仿宋" w:eastAsia="仿宋" w:cs="仿宋"/>
                <w:bCs/>
                <w:szCs w:val="21"/>
              </w:rPr>
            </w:pPr>
            <w:r>
              <w:rPr>
                <w:rFonts w:hint="eastAsia" w:ascii="仿宋" w:hAnsi="仿宋" w:eastAsia="仿宋" w:cs="仿宋"/>
                <w:bCs/>
                <w:szCs w:val="21"/>
              </w:rPr>
              <w:t>推进校院两级教学管理改革</w:t>
            </w:r>
          </w:p>
        </w:tc>
        <w:tc>
          <w:tcPr>
            <w:tcW w:w="3363" w:type="dxa"/>
            <w:vAlign w:val="center"/>
          </w:tcPr>
          <w:p>
            <w:pPr>
              <w:spacing w:line="260" w:lineRule="exact"/>
              <w:jc w:val="left"/>
              <w:rPr>
                <w:rFonts w:ascii="仿宋" w:hAnsi="仿宋" w:eastAsia="仿宋" w:cs="仿宋"/>
                <w:bCs/>
                <w:szCs w:val="21"/>
              </w:rPr>
            </w:pPr>
            <w:r>
              <w:rPr>
                <w:rFonts w:hint="eastAsia" w:ascii="仿宋" w:hAnsi="仿宋" w:eastAsia="仿宋" w:cs="仿宋"/>
                <w:bCs/>
                <w:szCs w:val="21"/>
              </w:rPr>
              <w:t>制订《校院两级教学管理实施办法》及相关配套制度，明确校院两级的教学管理中的责任和权力，为实施校院两级教学管理提供政策环境和制度保障。</w:t>
            </w:r>
          </w:p>
        </w:tc>
        <w:tc>
          <w:tcPr>
            <w:tcW w:w="1559"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教务处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continue"/>
            <w:vAlign w:val="center"/>
          </w:tcPr>
          <w:p>
            <w:pPr>
              <w:spacing w:line="260" w:lineRule="exact"/>
              <w:jc w:val="center"/>
              <w:rPr>
                <w:rFonts w:ascii="仿宋" w:hAnsi="仿宋" w:eastAsia="仿宋" w:cs="仿宋"/>
                <w:b/>
                <w:szCs w:val="21"/>
              </w:rPr>
            </w:pPr>
          </w:p>
        </w:tc>
        <w:tc>
          <w:tcPr>
            <w:tcW w:w="1704" w:type="dxa"/>
            <w:vAlign w:val="center"/>
          </w:tcPr>
          <w:p>
            <w:pPr>
              <w:spacing w:line="260" w:lineRule="exact"/>
              <w:jc w:val="left"/>
              <w:rPr>
                <w:rFonts w:ascii="仿宋" w:hAnsi="仿宋" w:eastAsia="仿宋" w:cs="仿宋"/>
                <w:bCs/>
                <w:szCs w:val="21"/>
              </w:rPr>
            </w:pPr>
            <w:r>
              <w:rPr>
                <w:rFonts w:hint="eastAsia" w:ascii="仿宋" w:hAnsi="仿宋" w:eastAsia="仿宋" w:cs="仿宋"/>
                <w:bCs/>
                <w:szCs w:val="21"/>
              </w:rPr>
              <w:t>探索结构化教学组织建设</w:t>
            </w:r>
          </w:p>
        </w:tc>
        <w:tc>
          <w:tcPr>
            <w:tcW w:w="3363" w:type="dxa"/>
            <w:vAlign w:val="center"/>
          </w:tcPr>
          <w:p>
            <w:pPr>
              <w:spacing w:line="260" w:lineRule="exact"/>
              <w:jc w:val="left"/>
              <w:rPr>
                <w:rFonts w:ascii="仿宋" w:hAnsi="仿宋" w:eastAsia="仿宋" w:cs="仿宋"/>
                <w:bCs/>
                <w:szCs w:val="21"/>
              </w:rPr>
            </w:pPr>
            <w:r>
              <w:rPr>
                <w:rFonts w:hint="eastAsia" w:ascii="仿宋" w:hAnsi="仿宋" w:eastAsia="仿宋" w:cs="仿宋"/>
                <w:bCs/>
                <w:szCs w:val="21"/>
              </w:rPr>
              <w:t>以项目为载体，以专业（群）、课程（群）为平台，建立资源共享体系，跨专业组建教师教学创新团队，促进跨专业交流与对话，实现协同创新和协同发展，打造教师命运共同体</w:t>
            </w:r>
          </w:p>
        </w:tc>
        <w:tc>
          <w:tcPr>
            <w:tcW w:w="1559"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教务处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continue"/>
            <w:vAlign w:val="center"/>
          </w:tcPr>
          <w:p>
            <w:pPr>
              <w:spacing w:line="260" w:lineRule="exact"/>
              <w:jc w:val="center"/>
              <w:rPr>
                <w:rFonts w:ascii="仿宋" w:hAnsi="仿宋" w:eastAsia="仿宋" w:cs="仿宋"/>
                <w:b/>
                <w:szCs w:val="21"/>
              </w:rPr>
            </w:pPr>
          </w:p>
        </w:tc>
        <w:tc>
          <w:tcPr>
            <w:tcW w:w="1704" w:type="dxa"/>
            <w:vAlign w:val="center"/>
          </w:tcPr>
          <w:p>
            <w:pPr>
              <w:spacing w:line="260" w:lineRule="exact"/>
              <w:jc w:val="left"/>
              <w:rPr>
                <w:rFonts w:ascii="仿宋" w:hAnsi="仿宋" w:eastAsia="仿宋" w:cs="仿宋"/>
                <w:bCs/>
                <w:szCs w:val="21"/>
              </w:rPr>
            </w:pPr>
            <w:r>
              <w:rPr>
                <w:rFonts w:hint="eastAsia" w:ascii="仿宋" w:hAnsi="仿宋" w:eastAsia="仿宋" w:cs="仿宋"/>
                <w:bCs/>
                <w:szCs w:val="21"/>
              </w:rPr>
              <w:t>成立教学工作指导委员会</w:t>
            </w:r>
          </w:p>
        </w:tc>
        <w:tc>
          <w:tcPr>
            <w:tcW w:w="3363" w:type="dxa"/>
            <w:vAlign w:val="center"/>
          </w:tcPr>
          <w:p>
            <w:pPr>
              <w:spacing w:line="260" w:lineRule="exact"/>
              <w:jc w:val="left"/>
              <w:rPr>
                <w:rFonts w:ascii="仿宋" w:hAnsi="仿宋" w:eastAsia="仿宋" w:cs="仿宋"/>
                <w:bCs/>
                <w:szCs w:val="21"/>
              </w:rPr>
            </w:pPr>
            <w:r>
              <w:rPr>
                <w:rFonts w:hint="eastAsia" w:ascii="仿宋" w:hAnsi="仿宋" w:eastAsia="仿宋" w:cs="仿宋"/>
                <w:bCs/>
                <w:szCs w:val="21"/>
              </w:rPr>
              <w:t>针对专业的人才培养方案、学生的学籍、实习、教材等教学管理制度，建立“惠州工程职业学院教学工作指导委员会”</w:t>
            </w:r>
          </w:p>
        </w:tc>
        <w:tc>
          <w:tcPr>
            <w:tcW w:w="1559"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教务处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continue"/>
            <w:vAlign w:val="center"/>
          </w:tcPr>
          <w:p>
            <w:pPr>
              <w:spacing w:line="260" w:lineRule="exact"/>
              <w:jc w:val="center"/>
              <w:rPr>
                <w:rFonts w:ascii="仿宋" w:hAnsi="仿宋" w:eastAsia="仿宋" w:cs="仿宋"/>
                <w:b/>
                <w:szCs w:val="21"/>
              </w:rPr>
            </w:pPr>
          </w:p>
        </w:tc>
        <w:tc>
          <w:tcPr>
            <w:tcW w:w="1704" w:type="dxa"/>
            <w:vAlign w:val="center"/>
          </w:tcPr>
          <w:p>
            <w:pPr>
              <w:spacing w:line="260" w:lineRule="exact"/>
              <w:jc w:val="left"/>
              <w:rPr>
                <w:rFonts w:ascii="仿宋" w:hAnsi="仿宋" w:eastAsia="仿宋" w:cs="仿宋"/>
                <w:bCs/>
                <w:szCs w:val="21"/>
              </w:rPr>
            </w:pPr>
            <w:r>
              <w:rPr>
                <w:rFonts w:hint="eastAsia" w:ascii="仿宋" w:hAnsi="仿宋" w:eastAsia="仿宋" w:cs="仿宋"/>
                <w:bCs/>
                <w:szCs w:val="21"/>
              </w:rPr>
              <w:t>加强人才培养方案的修订和执行</w:t>
            </w:r>
          </w:p>
        </w:tc>
        <w:tc>
          <w:tcPr>
            <w:tcW w:w="3363" w:type="dxa"/>
            <w:vAlign w:val="center"/>
          </w:tcPr>
          <w:p>
            <w:pPr>
              <w:spacing w:line="260" w:lineRule="exact"/>
              <w:jc w:val="left"/>
              <w:rPr>
                <w:rFonts w:ascii="仿宋" w:hAnsi="仿宋" w:eastAsia="仿宋" w:cs="仿宋"/>
                <w:bCs/>
                <w:szCs w:val="21"/>
              </w:rPr>
            </w:pPr>
            <w:r>
              <w:rPr>
                <w:rFonts w:hint="eastAsia" w:ascii="仿宋" w:hAnsi="仿宋" w:eastAsia="仿宋" w:cs="仿宋"/>
                <w:bCs/>
                <w:szCs w:val="21"/>
              </w:rPr>
              <w:t>通过开展专业调研活动，修订新一年人才培养方案，深度融入企业人员，形成专业建设指导委员会，严格按照人才培养方案开设课程、建设专业、优化教学团队。</w:t>
            </w:r>
          </w:p>
        </w:tc>
        <w:tc>
          <w:tcPr>
            <w:tcW w:w="1559"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continue"/>
            <w:vAlign w:val="center"/>
          </w:tcPr>
          <w:p>
            <w:pPr>
              <w:spacing w:line="260" w:lineRule="exact"/>
              <w:jc w:val="center"/>
              <w:rPr>
                <w:rFonts w:ascii="仿宋" w:hAnsi="仿宋" w:eastAsia="仿宋" w:cs="仿宋"/>
                <w:b/>
                <w:szCs w:val="21"/>
              </w:rPr>
            </w:pPr>
          </w:p>
        </w:tc>
        <w:tc>
          <w:tcPr>
            <w:tcW w:w="1704" w:type="dxa"/>
            <w:vAlign w:val="center"/>
          </w:tcPr>
          <w:p>
            <w:pPr>
              <w:spacing w:line="260" w:lineRule="exact"/>
              <w:jc w:val="left"/>
              <w:rPr>
                <w:rFonts w:ascii="仿宋" w:hAnsi="仿宋" w:eastAsia="仿宋" w:cs="仿宋"/>
                <w:bCs/>
                <w:szCs w:val="21"/>
              </w:rPr>
            </w:pPr>
            <w:r>
              <w:rPr>
                <w:rFonts w:hint="eastAsia" w:ascii="仿宋" w:hAnsi="仿宋" w:eastAsia="仿宋" w:cs="仿宋"/>
                <w:bCs/>
                <w:szCs w:val="21"/>
              </w:rPr>
              <w:t>完善实践、实习教学管理与评价机制</w:t>
            </w:r>
          </w:p>
        </w:tc>
        <w:tc>
          <w:tcPr>
            <w:tcW w:w="3363" w:type="dxa"/>
            <w:vAlign w:val="center"/>
          </w:tcPr>
          <w:p>
            <w:pPr>
              <w:spacing w:line="260" w:lineRule="exact"/>
              <w:jc w:val="left"/>
              <w:rPr>
                <w:rFonts w:ascii="仿宋" w:hAnsi="仿宋" w:eastAsia="仿宋" w:cs="仿宋"/>
                <w:bCs/>
                <w:szCs w:val="21"/>
              </w:rPr>
            </w:pPr>
            <w:r>
              <w:rPr>
                <w:rFonts w:hint="eastAsia" w:ascii="仿宋" w:hAnsi="仿宋" w:eastAsia="仿宋" w:cs="仿宋"/>
                <w:bCs/>
                <w:szCs w:val="21"/>
              </w:rPr>
              <w:t>完善实践、实习教学管理办法，建设实践教学管理系统。</w:t>
            </w:r>
          </w:p>
        </w:tc>
        <w:tc>
          <w:tcPr>
            <w:tcW w:w="1559"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校企合作与学生就业处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continue"/>
            <w:vAlign w:val="center"/>
          </w:tcPr>
          <w:p>
            <w:pPr>
              <w:spacing w:line="260" w:lineRule="exact"/>
              <w:jc w:val="center"/>
              <w:rPr>
                <w:rFonts w:ascii="仿宋" w:hAnsi="仿宋" w:eastAsia="仿宋" w:cs="仿宋"/>
                <w:b/>
                <w:szCs w:val="21"/>
              </w:rPr>
            </w:pPr>
          </w:p>
        </w:tc>
        <w:tc>
          <w:tcPr>
            <w:tcW w:w="1704" w:type="dxa"/>
            <w:vAlign w:val="center"/>
          </w:tcPr>
          <w:p>
            <w:pPr>
              <w:spacing w:line="260" w:lineRule="exact"/>
              <w:jc w:val="left"/>
              <w:rPr>
                <w:rFonts w:ascii="仿宋" w:hAnsi="仿宋" w:eastAsia="仿宋" w:cs="仿宋"/>
                <w:bCs/>
                <w:szCs w:val="21"/>
              </w:rPr>
            </w:pPr>
            <w:r>
              <w:rPr>
                <w:rFonts w:hint="eastAsia" w:ascii="仿宋" w:hAnsi="仿宋" w:eastAsia="仿宋" w:cs="仿宋"/>
                <w:bCs/>
                <w:szCs w:val="21"/>
              </w:rPr>
              <w:t>精细化学生学籍管理过程</w:t>
            </w:r>
          </w:p>
        </w:tc>
        <w:tc>
          <w:tcPr>
            <w:tcW w:w="3363" w:type="dxa"/>
            <w:vAlign w:val="center"/>
          </w:tcPr>
          <w:p>
            <w:pPr>
              <w:spacing w:line="260" w:lineRule="exact"/>
              <w:jc w:val="left"/>
              <w:rPr>
                <w:rFonts w:ascii="仿宋" w:hAnsi="仿宋" w:eastAsia="仿宋" w:cs="仿宋"/>
                <w:bCs/>
                <w:szCs w:val="21"/>
              </w:rPr>
            </w:pPr>
            <w:r>
              <w:rPr>
                <w:rFonts w:hint="eastAsia" w:ascii="仿宋" w:hAnsi="仿宋" w:eastAsia="仿宋" w:cs="仿宋"/>
                <w:bCs/>
                <w:szCs w:val="21"/>
              </w:rPr>
              <w:t>借助数据平台等，在学生入学、转学、转专业、毕业、结业等方面，每一个环节都精心设计和管理，以确保学籍数据的准确性和完整性</w:t>
            </w:r>
          </w:p>
        </w:tc>
        <w:tc>
          <w:tcPr>
            <w:tcW w:w="1559"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学生处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restart"/>
            <w:vAlign w:val="center"/>
          </w:tcPr>
          <w:p>
            <w:pPr>
              <w:spacing w:line="260" w:lineRule="exact"/>
              <w:jc w:val="center"/>
              <w:rPr>
                <w:rFonts w:ascii="仿宋" w:hAnsi="仿宋" w:eastAsia="仿宋" w:cs="仿宋"/>
                <w:b/>
                <w:szCs w:val="21"/>
              </w:rPr>
            </w:pPr>
            <w:r>
              <w:rPr>
                <w:rFonts w:hint="eastAsia" w:ascii="仿宋" w:hAnsi="仿宋" w:eastAsia="仿宋" w:cs="仿宋"/>
                <w:b/>
                <w:szCs w:val="21"/>
              </w:rPr>
              <w:t>2024</w:t>
            </w:r>
          </w:p>
        </w:tc>
        <w:tc>
          <w:tcPr>
            <w:tcW w:w="1704" w:type="dxa"/>
            <w:vAlign w:val="center"/>
          </w:tcPr>
          <w:p>
            <w:pPr>
              <w:spacing w:line="260" w:lineRule="exact"/>
              <w:jc w:val="left"/>
              <w:rPr>
                <w:rFonts w:ascii="仿宋" w:hAnsi="仿宋" w:eastAsia="仿宋" w:cs="仿宋"/>
                <w:bCs/>
                <w:szCs w:val="21"/>
              </w:rPr>
            </w:pPr>
            <w:r>
              <w:rPr>
                <w:rFonts w:hint="eastAsia" w:ascii="仿宋" w:hAnsi="仿宋" w:eastAsia="仿宋" w:cs="仿宋"/>
                <w:bCs/>
                <w:szCs w:val="21"/>
              </w:rPr>
              <w:t>推进校院两级教学管理改革</w:t>
            </w:r>
          </w:p>
        </w:tc>
        <w:tc>
          <w:tcPr>
            <w:tcW w:w="3363" w:type="dxa"/>
            <w:vAlign w:val="center"/>
          </w:tcPr>
          <w:p>
            <w:pPr>
              <w:spacing w:line="260" w:lineRule="exact"/>
              <w:jc w:val="left"/>
              <w:rPr>
                <w:rFonts w:ascii="仿宋" w:hAnsi="仿宋" w:eastAsia="仿宋" w:cs="仿宋"/>
                <w:bCs/>
                <w:szCs w:val="21"/>
              </w:rPr>
            </w:pPr>
            <w:r>
              <w:rPr>
                <w:rFonts w:hint="eastAsia" w:ascii="仿宋" w:hAnsi="仿宋" w:eastAsia="仿宋" w:cs="仿宋"/>
                <w:bCs/>
                <w:szCs w:val="21"/>
              </w:rPr>
              <w:t>健全教学考核评价机制，稳步推进校院两级教学管理改革，使二级学院成为既充满活力又自我约束的“办学实体”</w:t>
            </w:r>
          </w:p>
        </w:tc>
        <w:tc>
          <w:tcPr>
            <w:tcW w:w="1559"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教务处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continue"/>
            <w:vAlign w:val="center"/>
          </w:tcPr>
          <w:p>
            <w:pPr>
              <w:spacing w:line="260" w:lineRule="exact"/>
              <w:jc w:val="center"/>
              <w:rPr>
                <w:rFonts w:ascii="仿宋" w:hAnsi="仿宋" w:eastAsia="仿宋" w:cs="仿宋"/>
                <w:b/>
                <w:szCs w:val="21"/>
              </w:rPr>
            </w:pPr>
          </w:p>
        </w:tc>
        <w:tc>
          <w:tcPr>
            <w:tcW w:w="1704" w:type="dxa"/>
            <w:vAlign w:val="center"/>
          </w:tcPr>
          <w:p>
            <w:pPr>
              <w:spacing w:line="260" w:lineRule="exact"/>
              <w:jc w:val="left"/>
              <w:rPr>
                <w:rFonts w:ascii="仿宋" w:hAnsi="仿宋" w:eastAsia="仿宋" w:cs="仿宋"/>
                <w:bCs/>
                <w:szCs w:val="21"/>
              </w:rPr>
            </w:pPr>
            <w:r>
              <w:rPr>
                <w:rFonts w:hint="eastAsia" w:ascii="仿宋" w:hAnsi="仿宋" w:eastAsia="仿宋" w:cs="仿宋"/>
                <w:bCs/>
                <w:szCs w:val="21"/>
              </w:rPr>
              <w:t>探索结构化教学组织建设</w:t>
            </w:r>
          </w:p>
        </w:tc>
        <w:tc>
          <w:tcPr>
            <w:tcW w:w="3363" w:type="dxa"/>
            <w:vAlign w:val="center"/>
          </w:tcPr>
          <w:p>
            <w:pPr>
              <w:spacing w:line="260" w:lineRule="exact"/>
              <w:jc w:val="left"/>
              <w:rPr>
                <w:rFonts w:ascii="仿宋" w:hAnsi="仿宋" w:eastAsia="仿宋" w:cs="仿宋"/>
                <w:bCs/>
                <w:szCs w:val="21"/>
              </w:rPr>
            </w:pPr>
            <w:r>
              <w:rPr>
                <w:rFonts w:hint="eastAsia" w:ascii="仿宋" w:hAnsi="仿宋" w:eastAsia="仿宋" w:cs="仿宋"/>
                <w:bCs/>
                <w:szCs w:val="21"/>
              </w:rPr>
              <w:t>出台《团队建设管理办法》，明确团队在专业建设、课程建设、队伍建设、科研和社会服务能力建设等方面的职责范围</w:t>
            </w:r>
          </w:p>
        </w:tc>
        <w:tc>
          <w:tcPr>
            <w:tcW w:w="1559"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教务处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continue"/>
            <w:vAlign w:val="center"/>
          </w:tcPr>
          <w:p>
            <w:pPr>
              <w:spacing w:line="260" w:lineRule="exact"/>
              <w:jc w:val="center"/>
              <w:rPr>
                <w:rFonts w:ascii="仿宋" w:hAnsi="仿宋" w:eastAsia="仿宋" w:cs="仿宋"/>
                <w:b/>
                <w:szCs w:val="21"/>
              </w:rPr>
            </w:pPr>
          </w:p>
        </w:tc>
        <w:tc>
          <w:tcPr>
            <w:tcW w:w="1704" w:type="dxa"/>
            <w:vAlign w:val="center"/>
          </w:tcPr>
          <w:p>
            <w:pPr>
              <w:spacing w:line="260" w:lineRule="exact"/>
              <w:jc w:val="left"/>
              <w:rPr>
                <w:rFonts w:ascii="仿宋" w:hAnsi="仿宋" w:eastAsia="仿宋" w:cs="仿宋"/>
                <w:bCs/>
                <w:szCs w:val="21"/>
              </w:rPr>
            </w:pPr>
            <w:r>
              <w:rPr>
                <w:rFonts w:hint="eastAsia" w:ascii="仿宋" w:hAnsi="仿宋" w:eastAsia="仿宋" w:cs="仿宋"/>
                <w:bCs/>
                <w:szCs w:val="21"/>
              </w:rPr>
              <w:t>成立教学工作指导委员会</w:t>
            </w:r>
          </w:p>
        </w:tc>
        <w:tc>
          <w:tcPr>
            <w:tcW w:w="3363" w:type="dxa"/>
            <w:vAlign w:val="center"/>
          </w:tcPr>
          <w:p>
            <w:pPr>
              <w:spacing w:line="260" w:lineRule="exact"/>
              <w:jc w:val="left"/>
              <w:rPr>
                <w:rFonts w:ascii="仿宋" w:hAnsi="仿宋" w:eastAsia="仿宋" w:cs="仿宋"/>
                <w:bCs/>
                <w:szCs w:val="21"/>
              </w:rPr>
            </w:pPr>
            <w:r>
              <w:rPr>
                <w:rFonts w:hint="eastAsia" w:ascii="仿宋" w:hAnsi="仿宋" w:eastAsia="仿宋" w:cs="仿宋"/>
                <w:bCs/>
                <w:szCs w:val="21"/>
              </w:rPr>
              <w:t>制定教学指导委员会章程，形成长效发展机制，做到定期汇报、定期检查、定期整改</w:t>
            </w:r>
          </w:p>
        </w:tc>
        <w:tc>
          <w:tcPr>
            <w:tcW w:w="1559"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教务处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continue"/>
            <w:vAlign w:val="center"/>
          </w:tcPr>
          <w:p>
            <w:pPr>
              <w:spacing w:line="260" w:lineRule="exact"/>
              <w:jc w:val="center"/>
              <w:rPr>
                <w:rFonts w:ascii="仿宋" w:hAnsi="仿宋" w:eastAsia="仿宋" w:cs="仿宋"/>
                <w:b/>
                <w:szCs w:val="21"/>
              </w:rPr>
            </w:pPr>
          </w:p>
        </w:tc>
        <w:tc>
          <w:tcPr>
            <w:tcW w:w="1704" w:type="dxa"/>
            <w:vAlign w:val="center"/>
          </w:tcPr>
          <w:p>
            <w:pPr>
              <w:spacing w:line="260" w:lineRule="exact"/>
              <w:jc w:val="left"/>
              <w:rPr>
                <w:rFonts w:ascii="仿宋" w:hAnsi="仿宋" w:eastAsia="仿宋" w:cs="仿宋"/>
                <w:bCs/>
                <w:szCs w:val="21"/>
              </w:rPr>
            </w:pPr>
            <w:r>
              <w:rPr>
                <w:rFonts w:hint="eastAsia" w:ascii="仿宋" w:hAnsi="仿宋" w:eastAsia="仿宋" w:cs="仿宋"/>
                <w:bCs/>
                <w:szCs w:val="21"/>
              </w:rPr>
              <w:t>加强人才培养方案的修订和执行</w:t>
            </w:r>
          </w:p>
        </w:tc>
        <w:tc>
          <w:tcPr>
            <w:tcW w:w="3363" w:type="dxa"/>
            <w:vAlign w:val="center"/>
          </w:tcPr>
          <w:p>
            <w:pPr>
              <w:spacing w:line="260" w:lineRule="exact"/>
              <w:jc w:val="left"/>
              <w:rPr>
                <w:rFonts w:ascii="仿宋" w:hAnsi="仿宋" w:eastAsia="仿宋" w:cs="仿宋"/>
                <w:bCs/>
                <w:szCs w:val="21"/>
              </w:rPr>
            </w:pPr>
            <w:r>
              <w:rPr>
                <w:rFonts w:hint="eastAsia" w:ascii="仿宋" w:hAnsi="仿宋" w:eastAsia="仿宋" w:cs="仿宋"/>
                <w:bCs/>
                <w:szCs w:val="21"/>
              </w:rPr>
              <w:t>通过开展专业调研活动，修订新一年人才培养方案，深度融入企业人员，形成专业建设指导委员会，严格按照人才培养方案开设课程、建设专业、优化教学团队。</w:t>
            </w:r>
          </w:p>
        </w:tc>
        <w:tc>
          <w:tcPr>
            <w:tcW w:w="1559"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continue"/>
            <w:vAlign w:val="center"/>
          </w:tcPr>
          <w:p>
            <w:pPr>
              <w:spacing w:line="260" w:lineRule="exact"/>
              <w:jc w:val="center"/>
              <w:rPr>
                <w:rFonts w:ascii="仿宋" w:hAnsi="仿宋" w:eastAsia="仿宋" w:cs="仿宋"/>
                <w:b/>
                <w:szCs w:val="21"/>
              </w:rPr>
            </w:pPr>
          </w:p>
        </w:tc>
        <w:tc>
          <w:tcPr>
            <w:tcW w:w="1704" w:type="dxa"/>
            <w:vAlign w:val="center"/>
          </w:tcPr>
          <w:p>
            <w:pPr>
              <w:spacing w:line="260" w:lineRule="exact"/>
              <w:jc w:val="left"/>
              <w:rPr>
                <w:rFonts w:ascii="仿宋" w:hAnsi="仿宋" w:eastAsia="仿宋" w:cs="仿宋"/>
                <w:bCs/>
                <w:szCs w:val="21"/>
              </w:rPr>
            </w:pPr>
            <w:r>
              <w:rPr>
                <w:rFonts w:hint="eastAsia" w:ascii="仿宋" w:hAnsi="仿宋" w:eastAsia="仿宋" w:cs="仿宋"/>
                <w:bCs/>
                <w:szCs w:val="21"/>
              </w:rPr>
              <w:t>完善实践、实习教学管理与评价机制</w:t>
            </w:r>
          </w:p>
        </w:tc>
        <w:tc>
          <w:tcPr>
            <w:tcW w:w="3363" w:type="dxa"/>
            <w:vAlign w:val="center"/>
          </w:tcPr>
          <w:p>
            <w:pPr>
              <w:spacing w:line="260" w:lineRule="exact"/>
              <w:jc w:val="left"/>
              <w:rPr>
                <w:rFonts w:ascii="仿宋" w:hAnsi="仿宋" w:eastAsia="仿宋" w:cs="仿宋"/>
                <w:bCs/>
                <w:szCs w:val="21"/>
              </w:rPr>
            </w:pPr>
            <w:r>
              <w:rPr>
                <w:rFonts w:hint="eastAsia" w:ascii="仿宋" w:hAnsi="仿宋" w:eastAsia="仿宋" w:cs="仿宋"/>
                <w:bCs/>
                <w:szCs w:val="21"/>
              </w:rPr>
              <w:t>实施基于教学活动行为的智能实践管理，完善基于行为大数据的实践教学管理与评价机制，精准跟踪和分析教学过程，实现对教学过程、教学效果的智能评价</w:t>
            </w:r>
          </w:p>
        </w:tc>
        <w:tc>
          <w:tcPr>
            <w:tcW w:w="1559"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校企合作与学生就业处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continue"/>
            <w:vAlign w:val="center"/>
          </w:tcPr>
          <w:p>
            <w:pPr>
              <w:spacing w:line="260" w:lineRule="exact"/>
              <w:jc w:val="center"/>
              <w:rPr>
                <w:rFonts w:ascii="仿宋" w:hAnsi="仿宋" w:eastAsia="仿宋" w:cs="仿宋"/>
                <w:b/>
                <w:szCs w:val="21"/>
              </w:rPr>
            </w:pPr>
          </w:p>
        </w:tc>
        <w:tc>
          <w:tcPr>
            <w:tcW w:w="1704" w:type="dxa"/>
            <w:vAlign w:val="center"/>
          </w:tcPr>
          <w:p>
            <w:pPr>
              <w:spacing w:line="260" w:lineRule="exact"/>
              <w:jc w:val="left"/>
              <w:rPr>
                <w:rFonts w:ascii="仿宋" w:hAnsi="仿宋" w:eastAsia="仿宋" w:cs="仿宋"/>
                <w:bCs/>
                <w:szCs w:val="21"/>
              </w:rPr>
            </w:pPr>
            <w:r>
              <w:rPr>
                <w:rFonts w:hint="eastAsia" w:ascii="仿宋" w:hAnsi="仿宋" w:eastAsia="仿宋" w:cs="仿宋"/>
                <w:bCs/>
                <w:szCs w:val="21"/>
              </w:rPr>
              <w:t>精细化学生学籍管理过程</w:t>
            </w:r>
          </w:p>
        </w:tc>
        <w:tc>
          <w:tcPr>
            <w:tcW w:w="3363" w:type="dxa"/>
            <w:vAlign w:val="center"/>
          </w:tcPr>
          <w:p>
            <w:pPr>
              <w:spacing w:line="260" w:lineRule="exact"/>
              <w:jc w:val="left"/>
              <w:rPr>
                <w:rFonts w:ascii="仿宋" w:hAnsi="仿宋" w:eastAsia="仿宋" w:cs="仿宋"/>
                <w:bCs/>
                <w:szCs w:val="21"/>
              </w:rPr>
            </w:pPr>
            <w:r>
              <w:rPr>
                <w:rFonts w:hint="eastAsia" w:ascii="仿宋" w:hAnsi="仿宋" w:eastAsia="仿宋" w:cs="仿宋"/>
                <w:bCs/>
                <w:szCs w:val="21"/>
              </w:rPr>
              <w:t>通过定期的学籍审查和维护，及时更新学生的学籍状态，包括课程成绩、奖惩记录等，以反映学生的最新学习情况</w:t>
            </w:r>
          </w:p>
        </w:tc>
        <w:tc>
          <w:tcPr>
            <w:tcW w:w="1559"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学生处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restart"/>
            <w:vAlign w:val="center"/>
          </w:tcPr>
          <w:p>
            <w:pPr>
              <w:spacing w:line="260" w:lineRule="exact"/>
              <w:jc w:val="center"/>
              <w:rPr>
                <w:rFonts w:ascii="仿宋" w:hAnsi="仿宋" w:eastAsia="仿宋" w:cs="仿宋"/>
                <w:b/>
                <w:szCs w:val="21"/>
              </w:rPr>
            </w:pPr>
            <w:r>
              <w:rPr>
                <w:rFonts w:hint="eastAsia" w:ascii="仿宋" w:hAnsi="仿宋" w:eastAsia="仿宋" w:cs="仿宋"/>
                <w:b/>
                <w:szCs w:val="21"/>
              </w:rPr>
              <w:t>2025</w:t>
            </w:r>
          </w:p>
        </w:tc>
        <w:tc>
          <w:tcPr>
            <w:tcW w:w="1704" w:type="dxa"/>
            <w:vAlign w:val="center"/>
          </w:tcPr>
          <w:p>
            <w:pPr>
              <w:spacing w:line="260" w:lineRule="exact"/>
              <w:jc w:val="left"/>
              <w:rPr>
                <w:rFonts w:ascii="仿宋" w:hAnsi="仿宋" w:eastAsia="仿宋" w:cs="仿宋"/>
                <w:bCs/>
                <w:szCs w:val="21"/>
              </w:rPr>
            </w:pPr>
            <w:r>
              <w:rPr>
                <w:rFonts w:hint="eastAsia" w:ascii="仿宋" w:hAnsi="仿宋" w:eastAsia="仿宋" w:cs="仿宋"/>
                <w:bCs/>
                <w:szCs w:val="21"/>
              </w:rPr>
              <w:t>推进校院两级教学管理改革</w:t>
            </w:r>
          </w:p>
        </w:tc>
        <w:tc>
          <w:tcPr>
            <w:tcW w:w="3363" w:type="dxa"/>
            <w:vAlign w:val="center"/>
          </w:tcPr>
          <w:p>
            <w:pPr>
              <w:spacing w:line="260" w:lineRule="exact"/>
              <w:jc w:val="left"/>
              <w:rPr>
                <w:rFonts w:ascii="仿宋" w:hAnsi="仿宋" w:eastAsia="仿宋" w:cs="仿宋"/>
                <w:bCs/>
                <w:szCs w:val="21"/>
              </w:rPr>
            </w:pPr>
            <w:r>
              <w:rPr>
                <w:rFonts w:hint="eastAsia" w:ascii="仿宋" w:hAnsi="仿宋" w:eastAsia="仿宋" w:cs="仿宋"/>
                <w:bCs/>
                <w:szCs w:val="21"/>
              </w:rPr>
              <w:t>健全教学考核评价机制，稳步推进校院两级教学管理改革，使二级学院成为既充满活力又自我约束的“办学实体”</w:t>
            </w:r>
          </w:p>
        </w:tc>
        <w:tc>
          <w:tcPr>
            <w:tcW w:w="1559"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教务处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continue"/>
            <w:vAlign w:val="center"/>
          </w:tcPr>
          <w:p>
            <w:pPr>
              <w:spacing w:line="260" w:lineRule="exact"/>
              <w:jc w:val="center"/>
              <w:rPr>
                <w:rFonts w:ascii="仿宋" w:hAnsi="仿宋" w:eastAsia="仿宋" w:cs="仿宋"/>
                <w:bCs/>
                <w:szCs w:val="21"/>
              </w:rPr>
            </w:pPr>
          </w:p>
        </w:tc>
        <w:tc>
          <w:tcPr>
            <w:tcW w:w="1704" w:type="dxa"/>
            <w:vAlign w:val="center"/>
          </w:tcPr>
          <w:p>
            <w:pPr>
              <w:spacing w:line="260" w:lineRule="exact"/>
              <w:jc w:val="left"/>
              <w:rPr>
                <w:rFonts w:ascii="仿宋" w:hAnsi="仿宋" w:eastAsia="仿宋" w:cs="仿宋"/>
                <w:bCs/>
                <w:szCs w:val="21"/>
              </w:rPr>
            </w:pPr>
            <w:r>
              <w:rPr>
                <w:rFonts w:hint="eastAsia" w:ascii="仿宋" w:hAnsi="仿宋" w:eastAsia="仿宋" w:cs="仿宋"/>
                <w:bCs/>
                <w:szCs w:val="21"/>
              </w:rPr>
              <w:t>探索结构化教学组织建设</w:t>
            </w:r>
          </w:p>
        </w:tc>
        <w:tc>
          <w:tcPr>
            <w:tcW w:w="3363" w:type="dxa"/>
            <w:vAlign w:val="center"/>
          </w:tcPr>
          <w:p>
            <w:pPr>
              <w:spacing w:line="260" w:lineRule="exact"/>
              <w:jc w:val="left"/>
              <w:rPr>
                <w:rFonts w:ascii="仿宋" w:hAnsi="仿宋" w:eastAsia="仿宋" w:cs="仿宋"/>
                <w:bCs/>
                <w:szCs w:val="21"/>
              </w:rPr>
            </w:pPr>
            <w:r>
              <w:rPr>
                <w:rFonts w:hint="eastAsia" w:ascii="仿宋" w:hAnsi="仿宋" w:eastAsia="仿宋" w:cs="仿宋"/>
                <w:bCs/>
                <w:szCs w:val="21"/>
              </w:rPr>
              <w:t>建立二级学院统筹规划、职能部门归口指导的团队管理机制，构建以项目为载体，以目标为导向，以考核为激励的团队运行机制</w:t>
            </w:r>
          </w:p>
        </w:tc>
        <w:tc>
          <w:tcPr>
            <w:tcW w:w="1559"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教务处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continue"/>
            <w:vAlign w:val="center"/>
          </w:tcPr>
          <w:p>
            <w:pPr>
              <w:spacing w:line="260" w:lineRule="exact"/>
              <w:jc w:val="center"/>
              <w:rPr>
                <w:rFonts w:ascii="仿宋" w:hAnsi="仿宋" w:eastAsia="仿宋" w:cs="仿宋"/>
                <w:bCs/>
                <w:szCs w:val="21"/>
              </w:rPr>
            </w:pPr>
          </w:p>
        </w:tc>
        <w:tc>
          <w:tcPr>
            <w:tcW w:w="1704" w:type="dxa"/>
            <w:vAlign w:val="center"/>
          </w:tcPr>
          <w:p>
            <w:pPr>
              <w:spacing w:line="260" w:lineRule="exact"/>
              <w:jc w:val="left"/>
              <w:rPr>
                <w:rFonts w:ascii="仿宋" w:hAnsi="仿宋" w:eastAsia="仿宋" w:cs="仿宋"/>
                <w:bCs/>
                <w:szCs w:val="21"/>
              </w:rPr>
            </w:pPr>
            <w:r>
              <w:rPr>
                <w:rFonts w:hint="eastAsia" w:ascii="仿宋" w:hAnsi="仿宋" w:eastAsia="仿宋" w:cs="仿宋"/>
                <w:bCs/>
                <w:szCs w:val="21"/>
              </w:rPr>
              <w:t>成立教学工作指导委员会</w:t>
            </w:r>
          </w:p>
        </w:tc>
        <w:tc>
          <w:tcPr>
            <w:tcW w:w="3363" w:type="dxa"/>
            <w:vAlign w:val="center"/>
          </w:tcPr>
          <w:p>
            <w:pPr>
              <w:spacing w:line="260" w:lineRule="exact"/>
              <w:jc w:val="left"/>
              <w:rPr>
                <w:rFonts w:ascii="仿宋" w:hAnsi="仿宋" w:eastAsia="仿宋" w:cs="仿宋"/>
                <w:bCs/>
                <w:szCs w:val="21"/>
              </w:rPr>
            </w:pPr>
            <w:r>
              <w:rPr>
                <w:rFonts w:hint="eastAsia" w:ascii="仿宋" w:hAnsi="仿宋" w:eastAsia="仿宋" w:cs="仿宋"/>
                <w:bCs/>
                <w:szCs w:val="21"/>
              </w:rPr>
              <w:t>完善委员会运行工作机制</w:t>
            </w:r>
          </w:p>
        </w:tc>
        <w:tc>
          <w:tcPr>
            <w:tcW w:w="1559"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教务处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continue"/>
            <w:vAlign w:val="center"/>
          </w:tcPr>
          <w:p>
            <w:pPr>
              <w:spacing w:line="260" w:lineRule="exact"/>
              <w:jc w:val="center"/>
              <w:rPr>
                <w:rFonts w:ascii="仿宋" w:hAnsi="仿宋" w:eastAsia="仿宋" w:cs="仿宋"/>
                <w:bCs/>
                <w:szCs w:val="21"/>
              </w:rPr>
            </w:pPr>
          </w:p>
        </w:tc>
        <w:tc>
          <w:tcPr>
            <w:tcW w:w="1704" w:type="dxa"/>
            <w:vAlign w:val="center"/>
          </w:tcPr>
          <w:p>
            <w:pPr>
              <w:spacing w:line="260" w:lineRule="exact"/>
              <w:jc w:val="left"/>
              <w:rPr>
                <w:rFonts w:ascii="仿宋" w:hAnsi="仿宋" w:eastAsia="仿宋" w:cs="仿宋"/>
                <w:bCs/>
                <w:szCs w:val="21"/>
              </w:rPr>
            </w:pPr>
            <w:r>
              <w:rPr>
                <w:rFonts w:hint="eastAsia" w:ascii="仿宋" w:hAnsi="仿宋" w:eastAsia="仿宋" w:cs="仿宋"/>
                <w:bCs/>
                <w:szCs w:val="21"/>
              </w:rPr>
              <w:t>加强人才培养方案的修订和执行</w:t>
            </w:r>
          </w:p>
        </w:tc>
        <w:tc>
          <w:tcPr>
            <w:tcW w:w="3363" w:type="dxa"/>
            <w:vAlign w:val="center"/>
          </w:tcPr>
          <w:p>
            <w:pPr>
              <w:spacing w:line="260" w:lineRule="exact"/>
              <w:jc w:val="left"/>
              <w:rPr>
                <w:rFonts w:ascii="仿宋" w:hAnsi="仿宋" w:eastAsia="仿宋" w:cs="仿宋"/>
                <w:bCs/>
                <w:szCs w:val="21"/>
              </w:rPr>
            </w:pPr>
            <w:r>
              <w:rPr>
                <w:rFonts w:hint="eastAsia" w:ascii="仿宋" w:hAnsi="仿宋" w:eastAsia="仿宋" w:cs="仿宋"/>
                <w:bCs/>
                <w:szCs w:val="21"/>
              </w:rPr>
              <w:t>通过开展专业调研活动，修订新一年人才培养方案，深度融入企业人员，形成专业建设指导委员会，严格按照人才培养方案开设课程、建设专业、优化教学团队。</w:t>
            </w:r>
          </w:p>
        </w:tc>
        <w:tc>
          <w:tcPr>
            <w:tcW w:w="1559"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continue"/>
            <w:vAlign w:val="center"/>
          </w:tcPr>
          <w:p>
            <w:pPr>
              <w:spacing w:line="260" w:lineRule="exact"/>
              <w:jc w:val="center"/>
              <w:rPr>
                <w:rFonts w:ascii="仿宋" w:hAnsi="仿宋" w:eastAsia="仿宋" w:cs="仿宋"/>
                <w:bCs/>
                <w:szCs w:val="21"/>
              </w:rPr>
            </w:pPr>
          </w:p>
        </w:tc>
        <w:tc>
          <w:tcPr>
            <w:tcW w:w="1704" w:type="dxa"/>
            <w:vAlign w:val="center"/>
          </w:tcPr>
          <w:p>
            <w:pPr>
              <w:spacing w:line="260" w:lineRule="exact"/>
              <w:jc w:val="left"/>
              <w:rPr>
                <w:rFonts w:ascii="仿宋" w:hAnsi="仿宋" w:eastAsia="仿宋" w:cs="仿宋"/>
                <w:bCs/>
                <w:szCs w:val="21"/>
              </w:rPr>
            </w:pPr>
            <w:r>
              <w:rPr>
                <w:rFonts w:hint="eastAsia" w:ascii="仿宋" w:hAnsi="仿宋" w:eastAsia="仿宋" w:cs="仿宋"/>
                <w:bCs/>
                <w:szCs w:val="21"/>
              </w:rPr>
              <w:t>完善实践、实习教学管理与评价机制</w:t>
            </w:r>
          </w:p>
        </w:tc>
        <w:tc>
          <w:tcPr>
            <w:tcW w:w="3363" w:type="dxa"/>
            <w:vAlign w:val="center"/>
          </w:tcPr>
          <w:p>
            <w:pPr>
              <w:spacing w:line="260" w:lineRule="exact"/>
              <w:jc w:val="left"/>
              <w:rPr>
                <w:rFonts w:ascii="仿宋" w:hAnsi="仿宋" w:eastAsia="仿宋" w:cs="仿宋"/>
                <w:bCs/>
                <w:szCs w:val="21"/>
              </w:rPr>
            </w:pPr>
            <w:r>
              <w:rPr>
                <w:rFonts w:hint="eastAsia" w:ascii="仿宋" w:hAnsi="仿宋" w:eastAsia="仿宋" w:cs="仿宋"/>
                <w:bCs/>
                <w:szCs w:val="21"/>
              </w:rPr>
              <w:t>全面提升学生认知能力、合作能力、创新能力和职业能力培养，打造信息工匠</w:t>
            </w:r>
          </w:p>
        </w:tc>
        <w:tc>
          <w:tcPr>
            <w:tcW w:w="1559"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校企合作与学生就业处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continue"/>
            <w:vAlign w:val="center"/>
          </w:tcPr>
          <w:p>
            <w:pPr>
              <w:spacing w:line="260" w:lineRule="exact"/>
              <w:jc w:val="center"/>
              <w:rPr>
                <w:rFonts w:ascii="仿宋" w:hAnsi="仿宋" w:eastAsia="仿宋" w:cs="仿宋"/>
                <w:bCs/>
                <w:szCs w:val="21"/>
              </w:rPr>
            </w:pPr>
          </w:p>
        </w:tc>
        <w:tc>
          <w:tcPr>
            <w:tcW w:w="1704" w:type="dxa"/>
            <w:vAlign w:val="center"/>
          </w:tcPr>
          <w:p>
            <w:pPr>
              <w:spacing w:line="260" w:lineRule="exact"/>
              <w:jc w:val="left"/>
              <w:rPr>
                <w:rFonts w:ascii="仿宋" w:hAnsi="仿宋" w:eastAsia="仿宋" w:cs="仿宋"/>
                <w:bCs/>
                <w:szCs w:val="21"/>
              </w:rPr>
            </w:pPr>
            <w:r>
              <w:rPr>
                <w:rFonts w:hint="eastAsia" w:ascii="仿宋" w:hAnsi="仿宋" w:eastAsia="仿宋" w:cs="仿宋"/>
                <w:bCs/>
                <w:szCs w:val="21"/>
              </w:rPr>
              <w:t>精细化学生学籍管理过程</w:t>
            </w:r>
          </w:p>
        </w:tc>
        <w:tc>
          <w:tcPr>
            <w:tcW w:w="3363" w:type="dxa"/>
            <w:vAlign w:val="center"/>
          </w:tcPr>
          <w:p>
            <w:pPr>
              <w:spacing w:line="260" w:lineRule="exact"/>
              <w:jc w:val="left"/>
              <w:rPr>
                <w:rFonts w:ascii="仿宋" w:hAnsi="仿宋" w:eastAsia="仿宋" w:cs="仿宋"/>
                <w:bCs/>
                <w:szCs w:val="21"/>
              </w:rPr>
            </w:pPr>
            <w:r>
              <w:rPr>
                <w:rFonts w:hint="eastAsia" w:ascii="仿宋" w:hAnsi="仿宋" w:eastAsia="仿宋" w:cs="仿宋"/>
                <w:bCs/>
                <w:szCs w:val="21"/>
              </w:rPr>
              <w:t>在数据存储和保密方面，采用先进的加密技术和严格的权限控制，确保学籍数据的安全性和隐私性，为每一个学生提供个性化、精准的教育服务</w:t>
            </w:r>
          </w:p>
        </w:tc>
        <w:tc>
          <w:tcPr>
            <w:tcW w:w="1559"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学生处</w:t>
            </w:r>
          </w:p>
        </w:tc>
      </w:tr>
    </w:tbl>
    <w:p>
      <w:pPr>
        <w:keepNext/>
        <w:keepLines/>
        <w:spacing w:line="540" w:lineRule="exact"/>
        <w:ind w:firstLine="562" w:firstLineChars="200"/>
        <w:outlineLvl w:val="3"/>
        <w:rPr>
          <w:rFonts w:ascii="Times New Roman" w:hAnsi="Times New Roman" w:eastAsia="仿宋"/>
          <w:b/>
          <w:sz w:val="28"/>
          <w:szCs w:val="28"/>
        </w:rPr>
      </w:pPr>
      <w:r>
        <w:rPr>
          <w:rFonts w:hint="eastAsia" w:ascii="Times New Roman" w:hAnsi="Times New Roman" w:eastAsia="仿宋"/>
          <w:b/>
          <w:sz w:val="28"/>
          <w:szCs w:val="28"/>
        </w:rPr>
        <w:t>（6）预期成效及资金测算</w:t>
      </w:r>
    </w:p>
    <w:tbl>
      <w:tblPr>
        <w:tblStyle w:val="16"/>
        <w:tblW w:w="0" w:type="auto"/>
        <w:jc w:val="center"/>
        <w:tblLayout w:type="autofit"/>
        <w:tblCellMar>
          <w:top w:w="15" w:type="dxa"/>
          <w:left w:w="15" w:type="dxa"/>
          <w:bottom w:w="15" w:type="dxa"/>
          <w:right w:w="15" w:type="dxa"/>
        </w:tblCellMar>
      </w:tblPr>
      <w:tblGrid>
        <w:gridCol w:w="630"/>
        <w:gridCol w:w="3230"/>
        <w:gridCol w:w="2949"/>
        <w:gridCol w:w="509"/>
        <w:gridCol w:w="509"/>
        <w:gridCol w:w="509"/>
      </w:tblGrid>
      <w:tr>
        <w:tblPrEx>
          <w:tblCellMar>
            <w:top w:w="15" w:type="dxa"/>
            <w:left w:w="15" w:type="dxa"/>
            <w:bottom w:w="15" w:type="dxa"/>
            <w:right w:w="15" w:type="dxa"/>
          </w:tblCellMar>
        </w:tblPrEx>
        <w:trPr>
          <w:trHeight w:val="301"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项目名称</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主要建设内容</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预期建设成效</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建设资金安排表（万元）</w:t>
            </w:r>
          </w:p>
        </w:tc>
      </w:tr>
      <w:tr>
        <w:tblPrEx>
          <w:tblCellMar>
            <w:top w:w="15" w:type="dxa"/>
            <w:left w:w="15" w:type="dxa"/>
            <w:bottom w:w="15" w:type="dxa"/>
            <w:right w:w="15" w:type="dxa"/>
          </w:tblCellMar>
        </w:tblPrEx>
        <w:trPr>
          <w:trHeight w:val="286"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jc w:val="center"/>
              <w:rPr>
                <w:rFonts w:ascii="仿宋" w:hAnsi="仿宋" w:eastAsia="仿宋" w:cs="仿宋"/>
                <w:b/>
                <w:bCs/>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jc w:val="center"/>
              <w:rPr>
                <w:rFonts w:ascii="仿宋" w:hAnsi="仿宋" w:eastAsia="仿宋" w:cs="仿宋"/>
                <w:b/>
                <w:bCs/>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jc w:val="center"/>
              <w:rPr>
                <w:rFonts w:ascii="仿宋" w:hAnsi="仿宋" w:eastAsia="仿宋" w:cs="仿宋"/>
                <w:b/>
                <w:bCs/>
                <w:color w:val="000000"/>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kern w:val="0"/>
                <w:szCs w:val="21"/>
                <w:lang w:bidi="ar"/>
              </w:rPr>
            </w:pPr>
            <w:r>
              <w:rPr>
                <w:rFonts w:hint="eastAsia" w:ascii="仿宋" w:hAnsi="仿宋" w:eastAsia="仿宋" w:cs="仿宋"/>
                <w:b/>
                <w:bCs/>
                <w:color w:val="000000"/>
                <w:kern w:val="0"/>
                <w:szCs w:val="21"/>
                <w:lang w:bidi="ar"/>
              </w:rPr>
              <w:t>2023年</w:t>
            </w:r>
          </w:p>
        </w:tc>
        <w:tc>
          <w:tcPr>
            <w:tcW w:w="0" w:type="auto"/>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2024年</w:t>
            </w:r>
          </w:p>
        </w:tc>
        <w:tc>
          <w:tcPr>
            <w:tcW w:w="0" w:type="auto"/>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2025年</w:t>
            </w:r>
          </w:p>
        </w:tc>
      </w:tr>
      <w:tr>
        <w:tblPrEx>
          <w:tblCellMar>
            <w:top w:w="15" w:type="dxa"/>
            <w:left w:w="15" w:type="dxa"/>
            <w:bottom w:w="15" w:type="dxa"/>
            <w:right w:w="15" w:type="dxa"/>
          </w:tblCellMar>
        </w:tblPrEx>
        <w:trPr>
          <w:trHeight w:val="450"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Cs w:val="21"/>
              </w:rPr>
            </w:pPr>
            <w:r>
              <w:rPr>
                <w:rFonts w:hint="eastAsia" w:ascii="仿宋" w:hAnsi="仿宋" w:eastAsia="仿宋" w:cs="仿宋"/>
                <w:b/>
                <w:bCs/>
                <w:color w:val="000000"/>
                <w:szCs w:val="21"/>
              </w:rPr>
              <w:t>校院两级教学管理改革项目</w:t>
            </w:r>
          </w:p>
        </w:tc>
        <w:tc>
          <w:tcPr>
            <w:tcW w:w="0" w:type="auto"/>
            <w:tcBorders>
              <w:top w:val="single" w:color="000000" w:sz="4" w:space="0"/>
              <w:left w:val="single" w:color="000000" w:sz="4" w:space="0"/>
              <w:bottom w:val="single" w:color="000000" w:sz="4" w:space="0"/>
              <w:right w:val="single" w:color="000000" w:sz="4" w:space="0"/>
            </w:tcBorders>
            <w:vAlign w:val="center"/>
          </w:tcPr>
          <w:p>
            <w:pPr>
              <w:jc w:val="left"/>
              <w:rPr>
                <w:rFonts w:ascii="仿宋" w:hAnsi="仿宋" w:eastAsia="仿宋" w:cs="仿宋"/>
                <w:b/>
                <w:bCs/>
                <w:szCs w:val="21"/>
              </w:rPr>
            </w:pPr>
            <w:r>
              <w:rPr>
                <w:rFonts w:hint="eastAsia" w:ascii="仿宋" w:hAnsi="仿宋" w:eastAsia="仿宋" w:cs="仿宋"/>
                <w:color w:val="000000"/>
                <w:szCs w:val="21"/>
              </w:rPr>
              <w:t>推进校院两级教学管理改革；探索结构化教学组织建设；成立教学工作指导委员会；加强人才培养方案的修订和执行；完善实践、实习教学管理与评价机制；精细化学生学籍管理过程。</w:t>
            </w:r>
          </w:p>
        </w:tc>
        <w:tc>
          <w:tcPr>
            <w:tcW w:w="0" w:type="auto"/>
            <w:tcBorders>
              <w:top w:val="single" w:color="000000" w:sz="4" w:space="0"/>
              <w:left w:val="single" w:color="000000" w:sz="4" w:space="0"/>
              <w:bottom w:val="single" w:color="000000" w:sz="4" w:space="0"/>
              <w:right w:val="single" w:color="000000" w:sz="4" w:space="0"/>
            </w:tcBorders>
            <w:vAlign w:val="center"/>
          </w:tcPr>
          <w:p>
            <w:pPr>
              <w:jc w:val="left"/>
              <w:rPr>
                <w:rFonts w:ascii="仿宋" w:hAnsi="仿宋" w:eastAsia="仿宋" w:cs="仿宋"/>
                <w:color w:val="000000"/>
                <w:szCs w:val="21"/>
              </w:rPr>
            </w:pPr>
            <w:r>
              <w:rPr>
                <w:rFonts w:hint="eastAsia" w:ascii="仿宋" w:hAnsi="仿宋" w:eastAsia="仿宋" w:cs="仿宋"/>
                <w:color w:val="000000"/>
                <w:szCs w:val="21"/>
              </w:rPr>
              <w:t>形成1套完成的两级教学管理体系，修订人才培养方案、实习、实践、学籍等校内制度，做好省厅教学检查工作，每年开展1次各层面的诊断工作，并形成诊断报告。</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Cs w:val="21"/>
              </w:rPr>
            </w:pPr>
            <w:r>
              <w:rPr>
                <w:rFonts w:hint="eastAsia" w:ascii="仿宋" w:hAnsi="仿宋" w:eastAsia="仿宋" w:cs="仿宋"/>
                <w:color w:val="000000"/>
                <w:szCs w:val="21"/>
              </w:rPr>
              <w:t>2</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Cs w:val="21"/>
              </w:rPr>
            </w:pPr>
            <w:r>
              <w:rPr>
                <w:rFonts w:hint="eastAsia" w:ascii="仿宋" w:hAnsi="仿宋" w:eastAsia="仿宋" w:cs="仿宋"/>
                <w:color w:val="000000"/>
                <w:szCs w:val="21"/>
              </w:rPr>
              <w:t>3</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Cs w:val="21"/>
              </w:rPr>
            </w:pPr>
            <w:r>
              <w:rPr>
                <w:rFonts w:hint="eastAsia" w:ascii="仿宋" w:hAnsi="仿宋" w:eastAsia="仿宋" w:cs="仿宋"/>
                <w:color w:val="000000"/>
                <w:szCs w:val="21"/>
              </w:rPr>
              <w:t>5</w:t>
            </w:r>
          </w:p>
        </w:tc>
      </w:tr>
    </w:tbl>
    <w:p>
      <w:pPr>
        <w:keepNext/>
        <w:keepLines/>
        <w:spacing w:line="540" w:lineRule="exact"/>
        <w:ind w:firstLine="643" w:firstLineChars="200"/>
        <w:outlineLvl w:val="2"/>
        <w:rPr>
          <w:rFonts w:ascii="Times New Roman" w:hAnsi="Times New Roman" w:eastAsia="仿宋" w:cs="Times New Roman"/>
          <w:b/>
          <w:sz w:val="32"/>
        </w:rPr>
      </w:pPr>
      <w:bookmarkStart w:id="56" w:name="_Toc164347845"/>
      <w:r>
        <w:rPr>
          <w:rFonts w:hint="eastAsia" w:ascii="Times New Roman" w:hAnsi="Times New Roman" w:eastAsia="仿宋" w:cs="Times New Roman"/>
          <w:b/>
          <w:sz w:val="32"/>
        </w:rPr>
        <w:t>8.</w:t>
      </w:r>
      <w:r>
        <w:fldChar w:fldCharType="begin"/>
      </w:r>
      <w:r>
        <w:instrText xml:space="preserve"> HYPERLINK \l "_Toc17780" </w:instrText>
      </w:r>
      <w:r>
        <w:fldChar w:fldCharType="separate"/>
      </w:r>
      <w:r>
        <w:rPr>
          <w:rFonts w:hint="eastAsia" w:ascii="Times New Roman" w:hAnsi="Times New Roman" w:eastAsia="仿宋" w:cs="Times New Roman"/>
          <w:b/>
          <w:sz w:val="32"/>
        </w:rPr>
        <w:t>教学数字化转型项目</w:t>
      </w:r>
      <w:bookmarkEnd w:id="56"/>
      <w:r>
        <w:rPr>
          <w:rFonts w:hint="eastAsia" w:ascii="Times New Roman" w:hAnsi="Times New Roman" w:eastAsia="仿宋" w:cs="Times New Roman"/>
          <w:b/>
          <w:sz w:val="32"/>
        </w:rPr>
        <w:fldChar w:fldCharType="end"/>
      </w:r>
    </w:p>
    <w:p>
      <w:pPr>
        <w:spacing w:line="54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（1）必要性和可行性</w:t>
      </w:r>
    </w:p>
    <w:p>
      <w:pPr>
        <w:spacing w:line="540" w:lineRule="exact"/>
        <w:ind w:firstLine="560" w:firstLineChars="200"/>
        <w:rPr>
          <w:rFonts w:ascii="仿宋" w:hAnsi="仿宋" w:eastAsia="仿宋"/>
          <w:sz w:val="28"/>
          <w:szCs w:val="28"/>
        </w:rPr>
      </w:pPr>
      <w:r>
        <w:rPr>
          <w:rFonts w:hint="eastAsia" w:ascii="仿宋" w:hAnsi="仿宋" w:eastAsia="仿宋"/>
          <w:sz w:val="28"/>
          <w:szCs w:val="28"/>
        </w:rPr>
        <w:t>根据教育部高等教育司2023年工作要点，提出“深入实施数字化战略行动，塑造高等教育改革发展新优势”，根据国家发布《世界高等教育数字化发展报告（2023）》和《数字教育资源基础分类代码》，学校通过整合校企资源，智慧教学平台要能够提供更丰富、更实用的教学资源，提高教学质量；同时，在线学习的形式也能突破时空限制，提高教学效率。</w:t>
      </w:r>
    </w:p>
    <w:p>
      <w:pPr>
        <w:spacing w:line="540" w:lineRule="exact"/>
        <w:ind w:firstLine="560" w:firstLineChars="200"/>
        <w:rPr>
          <w:rFonts w:ascii="仿宋" w:hAnsi="仿宋" w:eastAsia="仿宋"/>
          <w:sz w:val="28"/>
          <w:szCs w:val="28"/>
        </w:rPr>
      </w:pPr>
      <w:r>
        <w:rPr>
          <w:rFonts w:hint="eastAsia" w:ascii="仿宋" w:hAnsi="仿宋" w:eastAsia="仿宋"/>
          <w:sz w:val="28"/>
          <w:szCs w:val="28"/>
        </w:rPr>
        <w:t>当前，云计算、大数据、人工智能等技术的发展为智慧教学平台的建设提供了坚实的技术支撑。随着社会对高素质人才的需求不断增加，企业和学校对智慧教学平台的需求也日益旺盛。</w:t>
      </w:r>
    </w:p>
    <w:p>
      <w:pPr>
        <w:spacing w:line="54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（2）拟解决的关键问题</w:t>
      </w:r>
    </w:p>
    <w:p>
      <w:pPr>
        <w:spacing w:line="540" w:lineRule="exact"/>
        <w:ind w:firstLine="560" w:firstLineChars="200"/>
        <w:rPr>
          <w:rFonts w:ascii="仿宋" w:hAnsi="仿宋" w:eastAsia="仿宋"/>
          <w:sz w:val="28"/>
          <w:szCs w:val="28"/>
        </w:rPr>
      </w:pPr>
      <w:r>
        <w:rPr>
          <w:rFonts w:hint="eastAsia" w:ascii="仿宋" w:hAnsi="仿宋" w:eastAsia="仿宋"/>
          <w:sz w:val="28"/>
          <w:szCs w:val="28"/>
        </w:rPr>
        <w:t>通过教学数字化转型，有效整合校企资源，实现资源的共享与互补，确保在线教学的质量，建立有效的教学质量监控与评估机制，提升教师的信息化教学水平，使其能够适应智慧教学平台的教学模式，确保学生在智慧教学平台上的学习效果，提高其学习积极性和参与度。</w:t>
      </w:r>
    </w:p>
    <w:p>
      <w:pPr>
        <w:spacing w:line="54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（3）建设目标</w:t>
      </w:r>
    </w:p>
    <w:p>
      <w:pPr>
        <w:spacing w:line="540" w:lineRule="exact"/>
        <w:ind w:firstLine="560" w:firstLineChars="200"/>
        <w:rPr>
          <w:rFonts w:ascii="仿宋" w:hAnsi="仿宋" w:eastAsia="仿宋"/>
          <w:sz w:val="28"/>
          <w:szCs w:val="28"/>
        </w:rPr>
      </w:pPr>
      <w:r>
        <w:rPr>
          <w:rFonts w:hint="eastAsia" w:ascii="仿宋" w:hAnsi="仿宋" w:eastAsia="仿宋"/>
          <w:sz w:val="28"/>
          <w:szCs w:val="28"/>
        </w:rPr>
        <w:t>打造集课程开发、在线学习、课程出版为一体的智慧教学平台， 以产教融合、校企合作，工学结合、知行合一为基本原则，以共建、共享、共管为导向，充分整合校企不同环境和教学资源以及在人才培养方面的各自优势，推进学校在线开放课程建设，开发与建设数字化资源，全面提升教师信息化教学水平。</w:t>
      </w:r>
    </w:p>
    <w:p>
      <w:pPr>
        <w:spacing w:line="54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（4）重点建设任务</w:t>
      </w:r>
    </w:p>
    <w:p>
      <w:pPr>
        <w:spacing w:line="540" w:lineRule="exact"/>
        <w:ind w:firstLine="562" w:firstLineChars="200"/>
        <w:rPr>
          <w:rFonts w:ascii="仿宋" w:hAnsi="仿宋" w:eastAsia="仿宋"/>
          <w:b/>
          <w:bCs/>
          <w:sz w:val="28"/>
          <w:szCs w:val="28"/>
        </w:rPr>
      </w:pPr>
      <w:r>
        <w:rPr>
          <w:rFonts w:hint="eastAsia" w:ascii="仿宋" w:hAnsi="仿宋" w:eastAsia="仿宋"/>
          <w:b/>
          <w:bCs/>
          <w:sz w:val="28"/>
          <w:szCs w:val="28"/>
        </w:rPr>
        <w:fldChar w:fldCharType="begin"/>
      </w:r>
      <w:r>
        <w:rPr>
          <w:rFonts w:hint="eastAsia" w:ascii="仿宋" w:hAnsi="仿宋" w:eastAsia="仿宋"/>
          <w:b/>
          <w:bCs/>
          <w:sz w:val="28"/>
          <w:szCs w:val="28"/>
        </w:rPr>
        <w:instrText xml:space="preserve"> = 1 \* GB3 </w:instrText>
      </w:r>
      <w:r>
        <w:rPr>
          <w:rFonts w:hint="eastAsia" w:ascii="仿宋" w:hAnsi="仿宋" w:eastAsia="仿宋"/>
          <w:b/>
          <w:bCs/>
          <w:sz w:val="28"/>
          <w:szCs w:val="28"/>
        </w:rPr>
        <w:fldChar w:fldCharType="separate"/>
      </w:r>
      <w:r>
        <w:rPr>
          <w:rFonts w:hint="eastAsia" w:ascii="仿宋" w:hAnsi="仿宋" w:eastAsia="仿宋"/>
          <w:b/>
          <w:bCs/>
          <w:sz w:val="28"/>
          <w:szCs w:val="28"/>
        </w:rPr>
        <w:t>①</w:t>
      </w:r>
      <w:r>
        <w:rPr>
          <w:rFonts w:hint="eastAsia" w:ascii="仿宋" w:hAnsi="仿宋" w:eastAsia="仿宋"/>
          <w:b/>
          <w:bCs/>
          <w:sz w:val="28"/>
          <w:szCs w:val="28"/>
        </w:rPr>
        <w:fldChar w:fldCharType="end"/>
      </w:r>
      <w:r>
        <w:rPr>
          <w:rFonts w:hint="eastAsia" w:ascii="仿宋" w:hAnsi="仿宋" w:eastAsia="仿宋"/>
          <w:b/>
          <w:bCs/>
          <w:sz w:val="28"/>
          <w:szCs w:val="28"/>
        </w:rPr>
        <w:t xml:space="preserve"> 建设一体化教学数字平台</w:t>
      </w:r>
    </w:p>
    <w:p>
      <w:pPr>
        <w:spacing w:line="540" w:lineRule="exact"/>
        <w:ind w:firstLine="560" w:firstLineChars="200"/>
        <w:rPr>
          <w:rFonts w:ascii="仿宋" w:hAnsi="仿宋" w:eastAsia="仿宋"/>
          <w:sz w:val="28"/>
          <w:szCs w:val="28"/>
        </w:rPr>
      </w:pPr>
      <w:r>
        <w:rPr>
          <w:rFonts w:hint="eastAsia" w:ascii="仿宋" w:hAnsi="仿宋" w:eastAsia="仿宋"/>
          <w:sz w:val="28"/>
          <w:szCs w:val="28"/>
        </w:rPr>
        <w:t>建设由教学资源库平台、在线学习平台组成的学习中心，达到使用便捷、安全稳定、交互性强、数据互通。</w:t>
      </w:r>
    </w:p>
    <w:p>
      <w:pPr>
        <w:spacing w:line="540" w:lineRule="exact"/>
        <w:ind w:firstLine="560" w:firstLineChars="200"/>
        <w:rPr>
          <w:rFonts w:ascii="仿宋" w:hAnsi="仿宋" w:eastAsia="仿宋"/>
          <w:sz w:val="28"/>
          <w:szCs w:val="28"/>
        </w:rPr>
      </w:pPr>
      <w:r>
        <w:rPr>
          <w:rFonts w:hint="eastAsia" w:ascii="仿宋" w:hAnsi="仿宋" w:eastAsia="仿宋"/>
          <w:sz w:val="28"/>
          <w:szCs w:val="28"/>
        </w:rPr>
        <w:t>在线学习平台。提升在线学习平台的数据共享与互通，增加毕业 设计、岗位实习教学模块。丰富优质数字资源，实现全课程信息化，推动课堂教学改革。改进课前、课中和课后教学环节，满足学生自主、泛在、个性化的学习需求，促进线上线下混合教学模式的应用。记录教学和学习活动过程数据，实现基于数据的多维、动态、全面、智能的教学评价体系，及时反馈知识技能掌握情况，提出个性化学习建议，推进个性化教学，提升课堂教学质量。完成国家级精品在线开放课程 2门和省级精品在线开放课程5门，力争获国家教师教学能力比赛获奖2项，省级教师教学能力比赛获奖10项。</w:t>
      </w:r>
    </w:p>
    <w:p>
      <w:pPr>
        <w:spacing w:line="540" w:lineRule="exact"/>
        <w:ind w:firstLine="560" w:firstLineChars="200"/>
        <w:rPr>
          <w:rFonts w:ascii="仿宋" w:hAnsi="仿宋" w:eastAsia="仿宋"/>
          <w:sz w:val="28"/>
          <w:szCs w:val="28"/>
        </w:rPr>
      </w:pPr>
      <w:r>
        <w:rPr>
          <w:rFonts w:hint="eastAsia" w:ascii="仿宋" w:hAnsi="仿宋" w:eastAsia="仿宋"/>
          <w:sz w:val="28"/>
          <w:szCs w:val="28"/>
        </w:rPr>
        <w:t>教学资源库平台。实现与在线学习平台的课程资源同步与共享。 完善专业资源建设标准，对接专业人才培养方案，形成专业资源建设评价 体系。完善优质教学资源开发和推广应用与激励机制，鼓励教师不断优化 和丰富优质教学资源。建设1个国家级专业教学资源库， 建设20个校级重点专业教学资源库。</w:t>
      </w:r>
    </w:p>
    <w:p>
      <w:pPr>
        <w:spacing w:line="540" w:lineRule="exact"/>
        <w:ind w:firstLine="562" w:firstLineChars="200"/>
        <w:rPr>
          <w:rFonts w:ascii="仿宋" w:hAnsi="仿宋" w:eastAsia="仿宋"/>
          <w:b/>
          <w:bCs/>
          <w:sz w:val="28"/>
          <w:szCs w:val="28"/>
        </w:rPr>
      </w:pPr>
      <w:r>
        <w:rPr>
          <w:rFonts w:hint="eastAsia" w:ascii="仿宋" w:hAnsi="仿宋" w:eastAsia="仿宋"/>
          <w:b/>
          <w:bCs/>
          <w:sz w:val="28"/>
          <w:szCs w:val="28"/>
        </w:rPr>
        <w:t>② 实施资源建用“五个二十”计划</w:t>
      </w:r>
    </w:p>
    <w:p>
      <w:pPr>
        <w:spacing w:line="540" w:lineRule="exact"/>
        <w:ind w:firstLine="560" w:firstLineChars="200"/>
        <w:rPr>
          <w:rFonts w:ascii="仿宋" w:hAnsi="仿宋" w:eastAsia="仿宋"/>
          <w:sz w:val="28"/>
          <w:szCs w:val="28"/>
        </w:rPr>
      </w:pPr>
      <w:r>
        <w:rPr>
          <w:rFonts w:hint="eastAsia" w:ascii="仿宋" w:hAnsi="仿宋" w:eastAsia="仿宋"/>
          <w:sz w:val="28"/>
          <w:szCs w:val="28"/>
        </w:rPr>
        <w:t>针对受众面广量大的公共课和专业核心课程， 建设内容质量高、教学效果好的校级精品在线开放课程或课程群20 门；加强基于问题、基于项目、基于现象、基于案例的线上线下相结合的混合式教学改革研究，推广“数字+教学”校级教学改革案例20个；推动教师利用在线开放课程资源创新课堂教学，选树“数字+教学”校级示范课20堂；引入虚拟仿真、人工智能等新技术，开发教学效果好、受益面广、开放共享度高、技术先进、运行管理有序的虚拟仿真实验教学项目20 项；将教材、课堂、教学资源三者融合，出版与广东省重点产业相关专业的数字教材 20 本。</w:t>
      </w:r>
    </w:p>
    <w:p>
      <w:pPr>
        <w:spacing w:line="54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（5）建设计划</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6"/>
        <w:gridCol w:w="1932"/>
        <w:gridCol w:w="4049"/>
        <w:gridCol w:w="13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shd w:val="clear" w:color="auto" w:fill="4874CB" w:themeFill="accent1"/>
            <w:vAlign w:val="center"/>
          </w:tcPr>
          <w:p>
            <w:pPr>
              <w:widowControl/>
              <w:topLinePunct/>
              <w:spacing w:line="560" w:lineRule="exact"/>
              <w:jc w:val="center"/>
              <w:rPr>
                <w:rFonts w:ascii="仿宋" w:hAnsi="仿宋" w:eastAsia="仿宋" w:cs="仿宋"/>
                <w:b/>
                <w:bCs/>
                <w:kern w:val="0"/>
                <w:szCs w:val="21"/>
                <w:lang w:eastAsia="en-US"/>
              </w:rPr>
            </w:pPr>
            <w:r>
              <w:rPr>
                <w:rFonts w:hint="eastAsia" w:ascii="仿宋" w:hAnsi="仿宋" w:eastAsia="仿宋" w:cs="仿宋"/>
                <w:b/>
                <w:bCs/>
                <w:kern w:val="0"/>
                <w:szCs w:val="21"/>
                <w:lang w:eastAsia="en-US"/>
              </w:rPr>
              <w:t>年度</w:t>
            </w:r>
          </w:p>
        </w:tc>
        <w:tc>
          <w:tcPr>
            <w:tcW w:w="1932" w:type="dxa"/>
            <w:shd w:val="clear" w:color="auto" w:fill="4874CB" w:themeFill="accent1"/>
            <w:vAlign w:val="center"/>
          </w:tcPr>
          <w:p>
            <w:pPr>
              <w:widowControl/>
              <w:topLinePunct/>
              <w:spacing w:line="560" w:lineRule="exact"/>
              <w:jc w:val="center"/>
              <w:rPr>
                <w:rFonts w:ascii="仿宋" w:hAnsi="仿宋" w:eastAsia="仿宋" w:cs="仿宋"/>
                <w:b/>
                <w:bCs/>
                <w:kern w:val="0"/>
                <w:szCs w:val="21"/>
                <w:lang w:eastAsia="en-US"/>
              </w:rPr>
            </w:pPr>
            <w:r>
              <w:rPr>
                <w:rFonts w:hint="eastAsia" w:ascii="仿宋" w:hAnsi="仿宋" w:eastAsia="仿宋" w:cs="仿宋"/>
                <w:b/>
                <w:bCs/>
                <w:kern w:val="0"/>
                <w:szCs w:val="21"/>
                <w:lang w:eastAsia="en-US"/>
              </w:rPr>
              <w:t>建设任务</w:t>
            </w:r>
          </w:p>
        </w:tc>
        <w:tc>
          <w:tcPr>
            <w:tcW w:w="4049" w:type="dxa"/>
            <w:shd w:val="clear" w:color="auto" w:fill="4874CB" w:themeFill="accent1"/>
            <w:vAlign w:val="center"/>
          </w:tcPr>
          <w:p>
            <w:pPr>
              <w:widowControl/>
              <w:topLinePunct/>
              <w:spacing w:line="560" w:lineRule="exact"/>
              <w:jc w:val="center"/>
              <w:rPr>
                <w:rFonts w:ascii="仿宋" w:hAnsi="仿宋" w:eastAsia="仿宋" w:cs="仿宋"/>
                <w:b/>
                <w:bCs/>
                <w:kern w:val="0"/>
                <w:szCs w:val="21"/>
                <w:lang w:eastAsia="en-US"/>
              </w:rPr>
            </w:pPr>
            <w:r>
              <w:rPr>
                <w:rFonts w:hint="eastAsia" w:ascii="仿宋" w:hAnsi="仿宋" w:eastAsia="仿宋" w:cs="仿宋"/>
                <w:b/>
                <w:bCs/>
                <w:kern w:val="0"/>
                <w:szCs w:val="21"/>
                <w:lang w:eastAsia="en-US"/>
              </w:rPr>
              <w:t>建设内容</w:t>
            </w:r>
          </w:p>
        </w:tc>
        <w:tc>
          <w:tcPr>
            <w:tcW w:w="1384" w:type="dxa"/>
            <w:shd w:val="clear" w:color="auto" w:fill="4874CB" w:themeFill="accent1"/>
            <w:vAlign w:val="center"/>
          </w:tcPr>
          <w:p>
            <w:pPr>
              <w:widowControl/>
              <w:topLinePunct/>
              <w:spacing w:line="560" w:lineRule="exact"/>
              <w:jc w:val="center"/>
              <w:rPr>
                <w:rFonts w:ascii="仿宋" w:hAnsi="仿宋" w:eastAsia="仿宋" w:cs="仿宋"/>
                <w:b/>
                <w:bCs/>
                <w:kern w:val="0"/>
                <w:szCs w:val="21"/>
                <w:lang w:eastAsia="en-US"/>
              </w:rPr>
            </w:pPr>
            <w:r>
              <w:rPr>
                <w:rFonts w:hint="eastAsia" w:ascii="仿宋" w:hAnsi="仿宋" w:eastAsia="仿宋" w:cs="仿宋"/>
                <w:b/>
                <w:bCs/>
                <w:kern w:val="0"/>
                <w:szCs w:val="21"/>
                <w:lang w:eastAsia="en-US"/>
              </w:rPr>
              <w:t>负责部门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Merge w:val="restart"/>
            <w:vAlign w:val="center"/>
          </w:tcPr>
          <w:p>
            <w:pPr>
              <w:jc w:val="center"/>
              <w:rPr>
                <w:rFonts w:ascii="仿宋" w:hAnsi="仿宋" w:eastAsia="仿宋" w:cs="仿宋"/>
                <w:b/>
                <w:szCs w:val="21"/>
              </w:rPr>
            </w:pPr>
            <w:r>
              <w:rPr>
                <w:rFonts w:hint="eastAsia" w:ascii="仿宋" w:hAnsi="仿宋" w:eastAsia="仿宋" w:cs="仿宋"/>
                <w:b/>
                <w:szCs w:val="21"/>
              </w:rPr>
              <w:t>2023</w:t>
            </w:r>
          </w:p>
        </w:tc>
        <w:tc>
          <w:tcPr>
            <w:tcW w:w="1932" w:type="dxa"/>
            <w:vAlign w:val="center"/>
          </w:tcPr>
          <w:p>
            <w:pPr>
              <w:rPr>
                <w:rFonts w:ascii="仿宋" w:hAnsi="仿宋" w:eastAsia="仿宋" w:cs="仿宋"/>
                <w:bCs/>
                <w:szCs w:val="21"/>
              </w:rPr>
            </w:pPr>
            <w:r>
              <w:rPr>
                <w:rFonts w:hint="eastAsia" w:ascii="仿宋" w:hAnsi="仿宋" w:eastAsia="仿宋" w:cs="仿宋"/>
                <w:bCs/>
                <w:szCs w:val="21"/>
              </w:rPr>
              <w:t>建设一体化教学数字平台</w:t>
            </w:r>
          </w:p>
        </w:tc>
        <w:tc>
          <w:tcPr>
            <w:tcW w:w="4049" w:type="dxa"/>
            <w:vAlign w:val="center"/>
          </w:tcPr>
          <w:p>
            <w:pPr>
              <w:rPr>
                <w:rFonts w:ascii="仿宋" w:hAnsi="仿宋" w:eastAsia="仿宋" w:cs="仿宋"/>
                <w:bCs/>
                <w:szCs w:val="21"/>
              </w:rPr>
            </w:pPr>
            <w:r>
              <w:rPr>
                <w:rFonts w:hint="eastAsia" w:ascii="仿宋" w:hAnsi="仿宋" w:eastAsia="仿宋" w:cs="仿宋"/>
                <w:bCs/>
                <w:szCs w:val="21"/>
              </w:rPr>
              <w:t>重点专业教学资源库2个；省级教师教学能力比赛获奖2项</w:t>
            </w:r>
          </w:p>
        </w:tc>
        <w:tc>
          <w:tcPr>
            <w:tcW w:w="1384" w:type="dxa"/>
            <w:vAlign w:val="center"/>
          </w:tcPr>
          <w:p>
            <w:pPr>
              <w:jc w:val="center"/>
              <w:rPr>
                <w:rFonts w:ascii="仿宋" w:hAnsi="仿宋" w:eastAsia="仿宋" w:cs="仿宋"/>
                <w:bCs/>
                <w:szCs w:val="21"/>
              </w:rPr>
            </w:pPr>
            <w:r>
              <w:rPr>
                <w:rFonts w:ascii="仿宋" w:hAnsi="仿宋" w:eastAsia="仿宋" w:cs="仿宋"/>
                <w:bCs/>
                <w:szCs w:val="21"/>
              </w:rPr>
              <w:t>教务处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Merge w:val="continue"/>
            <w:vAlign w:val="center"/>
          </w:tcPr>
          <w:p>
            <w:pPr>
              <w:jc w:val="center"/>
              <w:rPr>
                <w:rFonts w:ascii="仿宋" w:hAnsi="仿宋" w:eastAsia="仿宋" w:cs="仿宋"/>
                <w:b/>
                <w:szCs w:val="21"/>
              </w:rPr>
            </w:pPr>
          </w:p>
        </w:tc>
        <w:tc>
          <w:tcPr>
            <w:tcW w:w="1932" w:type="dxa"/>
            <w:vAlign w:val="center"/>
          </w:tcPr>
          <w:p>
            <w:pPr>
              <w:rPr>
                <w:rFonts w:ascii="仿宋" w:hAnsi="仿宋" w:eastAsia="仿宋" w:cs="仿宋"/>
                <w:bCs/>
                <w:szCs w:val="21"/>
              </w:rPr>
            </w:pPr>
            <w:r>
              <w:rPr>
                <w:rFonts w:hint="eastAsia" w:ascii="仿宋" w:hAnsi="仿宋" w:eastAsia="仿宋" w:cs="仿宋"/>
                <w:bCs/>
                <w:szCs w:val="21"/>
              </w:rPr>
              <w:t>实施资源建用“五个二十”计划</w:t>
            </w:r>
          </w:p>
        </w:tc>
        <w:tc>
          <w:tcPr>
            <w:tcW w:w="4049" w:type="dxa"/>
            <w:vAlign w:val="center"/>
          </w:tcPr>
          <w:p>
            <w:pPr>
              <w:rPr>
                <w:rFonts w:ascii="仿宋" w:hAnsi="仿宋" w:eastAsia="仿宋" w:cs="仿宋"/>
                <w:bCs/>
                <w:szCs w:val="21"/>
              </w:rPr>
            </w:pPr>
            <w:r>
              <w:rPr>
                <w:rFonts w:hint="eastAsia" w:ascii="仿宋" w:hAnsi="仿宋" w:eastAsia="仿宋" w:cs="仿宋"/>
                <w:bCs/>
                <w:szCs w:val="21"/>
              </w:rPr>
              <w:t>校级精品在线开放课程或课程群10 门；数字教材 4本</w:t>
            </w:r>
          </w:p>
        </w:tc>
        <w:tc>
          <w:tcPr>
            <w:tcW w:w="1384" w:type="dxa"/>
            <w:vAlign w:val="center"/>
          </w:tcPr>
          <w:p>
            <w:pPr>
              <w:jc w:val="center"/>
              <w:rPr>
                <w:rFonts w:ascii="仿宋" w:hAnsi="仿宋" w:eastAsia="仿宋" w:cs="仿宋"/>
                <w:bCs/>
                <w:szCs w:val="21"/>
              </w:rPr>
            </w:pPr>
            <w:r>
              <w:rPr>
                <w:rFonts w:ascii="仿宋" w:hAnsi="仿宋" w:eastAsia="仿宋" w:cs="仿宋"/>
                <w:bCs/>
                <w:szCs w:val="21"/>
              </w:rPr>
              <w:t>教务处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Merge w:val="restart"/>
            <w:vAlign w:val="center"/>
          </w:tcPr>
          <w:p>
            <w:pPr>
              <w:jc w:val="center"/>
              <w:rPr>
                <w:rFonts w:ascii="仿宋" w:hAnsi="仿宋" w:eastAsia="仿宋" w:cs="仿宋"/>
                <w:b/>
                <w:szCs w:val="21"/>
              </w:rPr>
            </w:pPr>
            <w:r>
              <w:rPr>
                <w:rFonts w:hint="eastAsia" w:ascii="仿宋" w:hAnsi="仿宋" w:eastAsia="仿宋" w:cs="仿宋"/>
                <w:b/>
                <w:szCs w:val="21"/>
              </w:rPr>
              <w:t>2024</w:t>
            </w:r>
          </w:p>
        </w:tc>
        <w:tc>
          <w:tcPr>
            <w:tcW w:w="1932" w:type="dxa"/>
            <w:vAlign w:val="center"/>
          </w:tcPr>
          <w:p>
            <w:pPr>
              <w:rPr>
                <w:rFonts w:ascii="仿宋" w:hAnsi="仿宋" w:eastAsia="仿宋" w:cs="仿宋"/>
                <w:bCs/>
                <w:szCs w:val="21"/>
              </w:rPr>
            </w:pPr>
            <w:r>
              <w:rPr>
                <w:rFonts w:hint="eastAsia" w:ascii="仿宋" w:hAnsi="仿宋" w:eastAsia="仿宋" w:cs="仿宋"/>
                <w:bCs/>
                <w:szCs w:val="21"/>
              </w:rPr>
              <w:t>建设一体化教学数字平台</w:t>
            </w:r>
          </w:p>
        </w:tc>
        <w:tc>
          <w:tcPr>
            <w:tcW w:w="4049" w:type="dxa"/>
            <w:vAlign w:val="center"/>
          </w:tcPr>
          <w:p>
            <w:pPr>
              <w:rPr>
                <w:rFonts w:ascii="仿宋" w:hAnsi="仿宋" w:eastAsia="仿宋" w:cs="仿宋"/>
                <w:bCs/>
                <w:szCs w:val="21"/>
              </w:rPr>
            </w:pPr>
            <w:r>
              <w:rPr>
                <w:rFonts w:hint="eastAsia" w:ascii="仿宋" w:hAnsi="仿宋" w:eastAsia="仿宋" w:cs="仿宋"/>
                <w:bCs/>
                <w:szCs w:val="21"/>
              </w:rPr>
              <w:t>重点专业教学资源库10个；省级教师教学能力比赛获奖2项</w:t>
            </w:r>
          </w:p>
        </w:tc>
        <w:tc>
          <w:tcPr>
            <w:tcW w:w="1384" w:type="dxa"/>
            <w:vAlign w:val="center"/>
          </w:tcPr>
          <w:p>
            <w:pPr>
              <w:jc w:val="center"/>
              <w:rPr>
                <w:rFonts w:ascii="仿宋" w:hAnsi="仿宋" w:eastAsia="仿宋" w:cs="仿宋"/>
                <w:bCs/>
                <w:szCs w:val="21"/>
              </w:rPr>
            </w:pPr>
            <w:r>
              <w:rPr>
                <w:rFonts w:ascii="仿宋" w:hAnsi="仿宋" w:eastAsia="仿宋" w:cs="仿宋"/>
                <w:bCs/>
                <w:szCs w:val="21"/>
              </w:rPr>
              <w:t>教务处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Merge w:val="continue"/>
            <w:vAlign w:val="center"/>
          </w:tcPr>
          <w:p>
            <w:pPr>
              <w:jc w:val="center"/>
              <w:rPr>
                <w:rFonts w:ascii="仿宋" w:hAnsi="仿宋" w:eastAsia="仿宋" w:cs="仿宋"/>
                <w:b/>
                <w:szCs w:val="21"/>
              </w:rPr>
            </w:pPr>
          </w:p>
        </w:tc>
        <w:tc>
          <w:tcPr>
            <w:tcW w:w="1932" w:type="dxa"/>
            <w:vAlign w:val="center"/>
          </w:tcPr>
          <w:p>
            <w:pPr>
              <w:rPr>
                <w:rFonts w:ascii="仿宋" w:hAnsi="仿宋" w:eastAsia="仿宋" w:cs="仿宋"/>
                <w:bCs/>
                <w:szCs w:val="21"/>
              </w:rPr>
            </w:pPr>
            <w:r>
              <w:rPr>
                <w:rFonts w:hint="eastAsia" w:ascii="仿宋" w:hAnsi="仿宋" w:eastAsia="仿宋" w:cs="仿宋"/>
                <w:bCs/>
                <w:szCs w:val="21"/>
              </w:rPr>
              <w:t>实施资源建用“五个二十”计划</w:t>
            </w:r>
          </w:p>
        </w:tc>
        <w:tc>
          <w:tcPr>
            <w:tcW w:w="4049" w:type="dxa"/>
            <w:vAlign w:val="center"/>
          </w:tcPr>
          <w:p>
            <w:pPr>
              <w:rPr>
                <w:rFonts w:ascii="仿宋" w:hAnsi="仿宋" w:eastAsia="仿宋" w:cs="仿宋"/>
                <w:bCs/>
                <w:szCs w:val="21"/>
              </w:rPr>
            </w:pPr>
            <w:r>
              <w:rPr>
                <w:rFonts w:hint="eastAsia" w:ascii="仿宋" w:hAnsi="仿宋" w:eastAsia="仿宋" w:cs="仿宋"/>
                <w:bCs/>
                <w:szCs w:val="21"/>
              </w:rPr>
              <w:t>校级精品在线开放课程或课程群5门；数字教材 3本；教学改革案例10个；虚拟仿真实验教学项目10 项；校级示范课10堂</w:t>
            </w:r>
          </w:p>
        </w:tc>
        <w:tc>
          <w:tcPr>
            <w:tcW w:w="1384" w:type="dxa"/>
            <w:vAlign w:val="center"/>
          </w:tcPr>
          <w:p>
            <w:pPr>
              <w:jc w:val="center"/>
              <w:rPr>
                <w:rFonts w:ascii="仿宋" w:hAnsi="仿宋" w:eastAsia="仿宋" w:cs="仿宋"/>
                <w:bCs/>
                <w:szCs w:val="21"/>
              </w:rPr>
            </w:pPr>
            <w:r>
              <w:rPr>
                <w:rFonts w:ascii="仿宋" w:hAnsi="仿宋" w:eastAsia="仿宋" w:cs="仿宋"/>
                <w:bCs/>
                <w:szCs w:val="21"/>
              </w:rPr>
              <w:t>教务处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Merge w:val="restart"/>
            <w:vAlign w:val="center"/>
          </w:tcPr>
          <w:p>
            <w:pPr>
              <w:jc w:val="center"/>
              <w:rPr>
                <w:rFonts w:ascii="仿宋" w:hAnsi="仿宋" w:eastAsia="仿宋" w:cs="仿宋"/>
                <w:b/>
                <w:szCs w:val="21"/>
              </w:rPr>
            </w:pPr>
            <w:r>
              <w:rPr>
                <w:rFonts w:hint="eastAsia" w:ascii="仿宋" w:hAnsi="仿宋" w:eastAsia="仿宋" w:cs="仿宋"/>
                <w:b/>
                <w:szCs w:val="21"/>
              </w:rPr>
              <w:t>2025</w:t>
            </w:r>
          </w:p>
        </w:tc>
        <w:tc>
          <w:tcPr>
            <w:tcW w:w="1932" w:type="dxa"/>
            <w:vAlign w:val="center"/>
          </w:tcPr>
          <w:p>
            <w:pPr>
              <w:rPr>
                <w:rFonts w:ascii="仿宋" w:hAnsi="仿宋" w:eastAsia="仿宋" w:cs="仿宋"/>
                <w:bCs/>
                <w:szCs w:val="21"/>
              </w:rPr>
            </w:pPr>
            <w:r>
              <w:rPr>
                <w:rFonts w:hint="eastAsia" w:ascii="仿宋" w:hAnsi="仿宋" w:eastAsia="仿宋" w:cs="仿宋"/>
                <w:bCs/>
                <w:szCs w:val="21"/>
              </w:rPr>
              <w:t>建设一体化教学数字平台</w:t>
            </w:r>
          </w:p>
        </w:tc>
        <w:tc>
          <w:tcPr>
            <w:tcW w:w="4049" w:type="dxa"/>
            <w:vAlign w:val="center"/>
          </w:tcPr>
          <w:p>
            <w:pPr>
              <w:rPr>
                <w:rFonts w:ascii="仿宋" w:hAnsi="仿宋" w:eastAsia="仿宋" w:cs="仿宋"/>
                <w:bCs/>
                <w:szCs w:val="21"/>
              </w:rPr>
            </w:pPr>
            <w:r>
              <w:rPr>
                <w:rFonts w:hint="eastAsia" w:ascii="仿宋" w:hAnsi="仿宋" w:eastAsia="仿宋" w:cs="仿宋"/>
                <w:bCs/>
                <w:szCs w:val="21"/>
              </w:rPr>
              <w:t>重点专业教学资源库10个；省级教师教学能力比赛获奖2项</w:t>
            </w:r>
          </w:p>
        </w:tc>
        <w:tc>
          <w:tcPr>
            <w:tcW w:w="1384" w:type="dxa"/>
            <w:vAlign w:val="center"/>
          </w:tcPr>
          <w:p>
            <w:pPr>
              <w:jc w:val="center"/>
              <w:rPr>
                <w:rFonts w:ascii="仿宋" w:hAnsi="仿宋" w:eastAsia="仿宋" w:cs="仿宋"/>
                <w:bCs/>
                <w:szCs w:val="21"/>
              </w:rPr>
            </w:pPr>
            <w:r>
              <w:rPr>
                <w:rFonts w:ascii="仿宋" w:hAnsi="仿宋" w:eastAsia="仿宋" w:cs="仿宋"/>
                <w:bCs/>
                <w:szCs w:val="21"/>
              </w:rPr>
              <w:t>教务处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Merge w:val="continue"/>
            <w:vAlign w:val="center"/>
          </w:tcPr>
          <w:p>
            <w:pPr>
              <w:rPr>
                <w:rFonts w:ascii="仿宋" w:hAnsi="仿宋" w:eastAsia="仿宋" w:cs="仿宋"/>
                <w:bCs/>
                <w:szCs w:val="21"/>
              </w:rPr>
            </w:pPr>
          </w:p>
        </w:tc>
        <w:tc>
          <w:tcPr>
            <w:tcW w:w="1932" w:type="dxa"/>
            <w:vAlign w:val="center"/>
          </w:tcPr>
          <w:p>
            <w:pPr>
              <w:rPr>
                <w:rFonts w:ascii="仿宋" w:hAnsi="仿宋" w:eastAsia="仿宋" w:cs="仿宋"/>
                <w:bCs/>
                <w:szCs w:val="21"/>
              </w:rPr>
            </w:pPr>
            <w:r>
              <w:rPr>
                <w:rFonts w:hint="eastAsia" w:ascii="仿宋" w:hAnsi="仿宋" w:eastAsia="仿宋" w:cs="仿宋"/>
                <w:bCs/>
                <w:szCs w:val="21"/>
              </w:rPr>
              <w:t>实施资源建用“五个二十”计划</w:t>
            </w:r>
          </w:p>
        </w:tc>
        <w:tc>
          <w:tcPr>
            <w:tcW w:w="4049" w:type="dxa"/>
            <w:vAlign w:val="center"/>
          </w:tcPr>
          <w:p>
            <w:pPr>
              <w:rPr>
                <w:rFonts w:ascii="仿宋" w:hAnsi="仿宋" w:eastAsia="仿宋" w:cs="仿宋"/>
                <w:bCs/>
                <w:szCs w:val="21"/>
              </w:rPr>
            </w:pPr>
            <w:r>
              <w:rPr>
                <w:rFonts w:hint="eastAsia" w:ascii="仿宋" w:hAnsi="仿宋" w:eastAsia="仿宋" w:cs="仿宋"/>
                <w:bCs/>
                <w:szCs w:val="21"/>
              </w:rPr>
              <w:t>校级精品在线开放课程或课程群10门；数字教材 10本；教学改革案例10个；虚拟仿真实验教学项目10 项；校级示范课10堂</w:t>
            </w:r>
          </w:p>
        </w:tc>
        <w:tc>
          <w:tcPr>
            <w:tcW w:w="1384" w:type="dxa"/>
            <w:vAlign w:val="center"/>
          </w:tcPr>
          <w:p>
            <w:pPr>
              <w:jc w:val="center"/>
              <w:rPr>
                <w:rFonts w:ascii="仿宋" w:hAnsi="仿宋" w:eastAsia="仿宋" w:cs="仿宋"/>
                <w:bCs/>
                <w:szCs w:val="21"/>
              </w:rPr>
            </w:pPr>
            <w:r>
              <w:rPr>
                <w:rFonts w:ascii="仿宋" w:hAnsi="仿宋" w:eastAsia="仿宋" w:cs="仿宋"/>
                <w:bCs/>
                <w:szCs w:val="21"/>
              </w:rPr>
              <w:t>教务处</w:t>
            </w:r>
          </w:p>
        </w:tc>
      </w:tr>
    </w:tbl>
    <w:p>
      <w:pPr>
        <w:spacing w:line="54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（6）预期成效及资金测算</w:t>
      </w:r>
    </w:p>
    <w:tbl>
      <w:tblPr>
        <w:tblStyle w:val="16"/>
        <w:tblpPr w:leftFromText="180" w:rightFromText="180" w:vertAnchor="text" w:horzAnchor="page" w:tblpX="1864" w:tblpY="14"/>
        <w:tblOverlap w:val="never"/>
        <w:tblW w:w="0" w:type="auto"/>
        <w:tblInd w:w="0" w:type="dxa"/>
        <w:tblLayout w:type="autofit"/>
        <w:tblCellMar>
          <w:top w:w="15" w:type="dxa"/>
          <w:left w:w="15" w:type="dxa"/>
          <w:bottom w:w="15" w:type="dxa"/>
          <w:right w:w="15" w:type="dxa"/>
        </w:tblCellMar>
      </w:tblPr>
      <w:tblGrid>
        <w:gridCol w:w="763"/>
        <w:gridCol w:w="2532"/>
        <w:gridCol w:w="3580"/>
        <w:gridCol w:w="487"/>
        <w:gridCol w:w="487"/>
        <w:gridCol w:w="487"/>
      </w:tblGrid>
      <w:tr>
        <w:tblPrEx>
          <w:tblCellMar>
            <w:top w:w="15" w:type="dxa"/>
            <w:left w:w="15" w:type="dxa"/>
            <w:bottom w:w="15" w:type="dxa"/>
            <w:right w:w="15" w:type="dxa"/>
          </w:tblCellMar>
        </w:tblPrEx>
        <w:trPr>
          <w:trHeight w:val="301" w:hRule="atLeast"/>
        </w:trPr>
        <w:tc>
          <w:tcPr>
            <w:tcW w:w="763" w:type="dxa"/>
            <w:vMerge w:val="restart"/>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kern w:val="0"/>
                <w:szCs w:val="21"/>
                <w:lang w:bidi="ar"/>
              </w:rPr>
            </w:pPr>
            <w:r>
              <w:rPr>
                <w:rFonts w:hint="eastAsia" w:ascii="仿宋" w:hAnsi="仿宋" w:eastAsia="仿宋" w:cs="仿宋"/>
                <w:b/>
                <w:bCs/>
                <w:kern w:val="0"/>
                <w:szCs w:val="21"/>
                <w:lang w:bidi="ar"/>
              </w:rPr>
              <w:t>项目</w:t>
            </w:r>
          </w:p>
          <w:p>
            <w:pPr>
              <w:widowControl/>
              <w:jc w:val="center"/>
              <w:textAlignment w:val="center"/>
              <w:rPr>
                <w:rFonts w:ascii="仿宋" w:hAnsi="仿宋" w:eastAsia="仿宋" w:cs="仿宋"/>
                <w:b/>
                <w:bCs/>
                <w:szCs w:val="21"/>
              </w:rPr>
            </w:pPr>
            <w:r>
              <w:rPr>
                <w:rFonts w:hint="eastAsia" w:ascii="仿宋" w:hAnsi="仿宋" w:eastAsia="仿宋" w:cs="仿宋"/>
                <w:b/>
                <w:bCs/>
                <w:kern w:val="0"/>
                <w:szCs w:val="21"/>
                <w:lang w:bidi="ar"/>
              </w:rPr>
              <w:t>名称</w:t>
            </w:r>
          </w:p>
        </w:tc>
        <w:tc>
          <w:tcPr>
            <w:tcW w:w="2532" w:type="dxa"/>
            <w:vMerge w:val="restart"/>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szCs w:val="21"/>
              </w:rPr>
            </w:pPr>
            <w:r>
              <w:rPr>
                <w:rFonts w:hint="eastAsia" w:ascii="仿宋" w:hAnsi="仿宋" w:eastAsia="仿宋" w:cs="仿宋"/>
                <w:b/>
                <w:bCs/>
                <w:kern w:val="0"/>
                <w:szCs w:val="21"/>
                <w:lang w:bidi="ar"/>
              </w:rPr>
              <w:t>主要建设内容</w:t>
            </w:r>
          </w:p>
        </w:tc>
        <w:tc>
          <w:tcPr>
            <w:tcW w:w="3580" w:type="dxa"/>
            <w:vMerge w:val="restart"/>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szCs w:val="21"/>
              </w:rPr>
            </w:pPr>
            <w:r>
              <w:rPr>
                <w:rFonts w:hint="eastAsia" w:ascii="仿宋" w:hAnsi="仿宋" w:eastAsia="仿宋" w:cs="仿宋"/>
                <w:b/>
                <w:bCs/>
                <w:kern w:val="0"/>
                <w:szCs w:val="21"/>
                <w:lang w:bidi="ar"/>
              </w:rPr>
              <w:t>预期建设成效</w:t>
            </w:r>
          </w:p>
        </w:tc>
        <w:tc>
          <w:tcPr>
            <w:tcW w:w="1461" w:type="dxa"/>
            <w:gridSpan w:val="3"/>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szCs w:val="21"/>
              </w:rPr>
            </w:pPr>
            <w:r>
              <w:rPr>
                <w:rFonts w:hint="eastAsia" w:ascii="仿宋" w:hAnsi="仿宋" w:eastAsia="仿宋" w:cs="仿宋"/>
                <w:b/>
                <w:bCs/>
                <w:kern w:val="0"/>
                <w:szCs w:val="21"/>
                <w:lang w:bidi="ar"/>
              </w:rPr>
              <w:t>建设资金安排表（万元）</w:t>
            </w:r>
          </w:p>
        </w:tc>
      </w:tr>
      <w:tr>
        <w:tblPrEx>
          <w:tblCellMar>
            <w:top w:w="15" w:type="dxa"/>
            <w:left w:w="15" w:type="dxa"/>
            <w:bottom w:w="15" w:type="dxa"/>
            <w:right w:w="15" w:type="dxa"/>
          </w:tblCellMar>
        </w:tblPrEx>
        <w:trPr>
          <w:trHeight w:val="286" w:hRule="atLeast"/>
        </w:trPr>
        <w:tc>
          <w:tcPr>
            <w:tcW w:w="763" w:type="dxa"/>
            <w:vMerge w:val="continue"/>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jc w:val="center"/>
              <w:rPr>
                <w:rFonts w:ascii="仿宋" w:hAnsi="仿宋" w:eastAsia="仿宋" w:cs="仿宋"/>
                <w:b/>
                <w:bCs/>
                <w:szCs w:val="21"/>
              </w:rPr>
            </w:pPr>
          </w:p>
        </w:tc>
        <w:tc>
          <w:tcPr>
            <w:tcW w:w="2532" w:type="dxa"/>
            <w:vMerge w:val="continue"/>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jc w:val="center"/>
              <w:rPr>
                <w:rFonts w:ascii="仿宋" w:hAnsi="仿宋" w:eastAsia="仿宋" w:cs="仿宋"/>
                <w:b/>
                <w:bCs/>
                <w:szCs w:val="21"/>
              </w:rPr>
            </w:pPr>
          </w:p>
        </w:tc>
        <w:tc>
          <w:tcPr>
            <w:tcW w:w="3580" w:type="dxa"/>
            <w:vMerge w:val="continue"/>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jc w:val="center"/>
              <w:rPr>
                <w:rFonts w:ascii="仿宋" w:hAnsi="仿宋" w:eastAsia="仿宋" w:cs="仿宋"/>
                <w:b/>
                <w:bCs/>
                <w:szCs w:val="21"/>
              </w:rPr>
            </w:pPr>
          </w:p>
        </w:tc>
        <w:tc>
          <w:tcPr>
            <w:tcW w:w="487" w:type="dxa"/>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kern w:val="0"/>
                <w:szCs w:val="21"/>
                <w:lang w:bidi="ar"/>
              </w:rPr>
            </w:pPr>
            <w:r>
              <w:rPr>
                <w:rFonts w:hint="eastAsia" w:ascii="仿宋" w:hAnsi="仿宋" w:eastAsia="仿宋" w:cs="仿宋"/>
                <w:b/>
                <w:bCs/>
                <w:kern w:val="0"/>
                <w:szCs w:val="21"/>
                <w:lang w:bidi="ar"/>
              </w:rPr>
              <w:t>2023年</w:t>
            </w:r>
          </w:p>
        </w:tc>
        <w:tc>
          <w:tcPr>
            <w:tcW w:w="487" w:type="dxa"/>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szCs w:val="21"/>
              </w:rPr>
            </w:pPr>
            <w:r>
              <w:rPr>
                <w:rFonts w:hint="eastAsia" w:ascii="仿宋" w:hAnsi="仿宋" w:eastAsia="仿宋" w:cs="仿宋"/>
                <w:b/>
                <w:bCs/>
                <w:kern w:val="0"/>
                <w:szCs w:val="21"/>
                <w:lang w:bidi="ar"/>
              </w:rPr>
              <w:t>2024年</w:t>
            </w:r>
          </w:p>
        </w:tc>
        <w:tc>
          <w:tcPr>
            <w:tcW w:w="487" w:type="dxa"/>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szCs w:val="21"/>
              </w:rPr>
            </w:pPr>
            <w:r>
              <w:rPr>
                <w:rFonts w:hint="eastAsia" w:ascii="仿宋" w:hAnsi="仿宋" w:eastAsia="仿宋" w:cs="仿宋"/>
                <w:b/>
                <w:bCs/>
                <w:kern w:val="0"/>
                <w:szCs w:val="21"/>
                <w:lang w:bidi="ar"/>
              </w:rPr>
              <w:t>2025年</w:t>
            </w:r>
          </w:p>
        </w:tc>
      </w:tr>
      <w:tr>
        <w:tblPrEx>
          <w:tblCellMar>
            <w:top w:w="15" w:type="dxa"/>
            <w:left w:w="15" w:type="dxa"/>
            <w:bottom w:w="15" w:type="dxa"/>
            <w:right w:w="15" w:type="dxa"/>
          </w:tblCellMar>
        </w:tblPrEx>
        <w:trPr>
          <w:trHeight w:val="450" w:hRule="atLeast"/>
        </w:trPr>
        <w:tc>
          <w:tcPr>
            <w:tcW w:w="76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szCs w:val="21"/>
              </w:rPr>
            </w:pPr>
            <w:r>
              <w:rPr>
                <w:rFonts w:hint="eastAsia" w:ascii="仿宋" w:hAnsi="仿宋" w:eastAsia="仿宋" w:cs="仿宋"/>
                <w:b/>
                <w:bCs/>
                <w:szCs w:val="21"/>
              </w:rPr>
              <w:t>教学数字化转型项目</w:t>
            </w:r>
          </w:p>
        </w:tc>
        <w:tc>
          <w:tcPr>
            <w:tcW w:w="2532" w:type="dxa"/>
            <w:tcBorders>
              <w:top w:val="single" w:color="000000" w:sz="4" w:space="0"/>
              <w:left w:val="single" w:color="000000" w:sz="4" w:space="0"/>
              <w:bottom w:val="single" w:color="000000" w:sz="4" w:space="0"/>
              <w:right w:val="single" w:color="000000" w:sz="4" w:space="0"/>
            </w:tcBorders>
            <w:vAlign w:val="center"/>
          </w:tcPr>
          <w:p>
            <w:pPr>
              <w:jc w:val="left"/>
              <w:rPr>
                <w:rFonts w:ascii="仿宋" w:hAnsi="仿宋" w:eastAsia="仿宋" w:cs="仿宋"/>
                <w:szCs w:val="21"/>
              </w:rPr>
            </w:pPr>
            <w:r>
              <w:rPr>
                <w:rFonts w:hint="eastAsia" w:ascii="仿宋" w:hAnsi="仿宋" w:eastAsia="仿宋" w:cs="仿宋"/>
                <w:szCs w:val="21"/>
              </w:rPr>
              <w:t>建设一体化教学数字平台；</w:t>
            </w:r>
          </w:p>
          <w:p>
            <w:pPr>
              <w:jc w:val="left"/>
              <w:rPr>
                <w:rFonts w:ascii="仿宋" w:hAnsi="仿宋" w:eastAsia="仿宋" w:cs="仿宋"/>
                <w:szCs w:val="21"/>
              </w:rPr>
            </w:pPr>
            <w:r>
              <w:rPr>
                <w:rFonts w:hint="eastAsia" w:ascii="仿宋" w:hAnsi="仿宋" w:eastAsia="仿宋" w:cs="仿宋"/>
                <w:szCs w:val="21"/>
              </w:rPr>
              <w:t>实施资源建用“五个二十”计划</w:t>
            </w:r>
          </w:p>
        </w:tc>
        <w:tc>
          <w:tcPr>
            <w:tcW w:w="3580" w:type="dxa"/>
            <w:tcBorders>
              <w:top w:val="single" w:color="000000" w:sz="4" w:space="0"/>
              <w:left w:val="single" w:color="000000" w:sz="4" w:space="0"/>
              <w:bottom w:val="single" w:color="000000" w:sz="4" w:space="0"/>
              <w:right w:val="single" w:color="000000" w:sz="4" w:space="0"/>
            </w:tcBorders>
            <w:vAlign w:val="center"/>
          </w:tcPr>
          <w:p>
            <w:pPr>
              <w:jc w:val="left"/>
              <w:rPr>
                <w:rFonts w:ascii="仿宋" w:hAnsi="仿宋" w:eastAsia="仿宋" w:cs="仿宋"/>
                <w:szCs w:val="21"/>
              </w:rPr>
            </w:pPr>
            <w:r>
              <w:rPr>
                <w:rFonts w:hint="eastAsia" w:ascii="仿宋" w:hAnsi="仿宋" w:eastAsia="仿宋" w:cs="仿宋"/>
                <w:szCs w:val="21"/>
              </w:rPr>
              <w:t>完成国家级精品在线开放课程 2门和省级精品在线开放课程5门，力争获国家教师教学能力比赛获奖2项，省级教师教学能力比赛获奖10项；建设1个国家级专业教学资源库， 建设20个校级重点专业教学资源库；校级精品在线开放课程或课程群20门；数字教材 20本；教学改革案例20个；虚拟仿真实验教学项目20 项；校级示范课20堂</w:t>
            </w:r>
          </w:p>
        </w:tc>
        <w:tc>
          <w:tcPr>
            <w:tcW w:w="48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szCs w:val="21"/>
              </w:rPr>
            </w:pPr>
            <w:r>
              <w:rPr>
                <w:rFonts w:hint="eastAsia" w:ascii="仿宋" w:hAnsi="仿宋" w:eastAsia="仿宋" w:cs="仿宋"/>
                <w:szCs w:val="21"/>
              </w:rPr>
              <w:t>10</w:t>
            </w:r>
          </w:p>
        </w:tc>
        <w:tc>
          <w:tcPr>
            <w:tcW w:w="48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szCs w:val="21"/>
              </w:rPr>
            </w:pPr>
            <w:r>
              <w:rPr>
                <w:rFonts w:hint="eastAsia" w:ascii="仿宋" w:hAnsi="仿宋" w:eastAsia="仿宋" w:cs="仿宋"/>
                <w:szCs w:val="21"/>
              </w:rPr>
              <w:t>200</w:t>
            </w:r>
          </w:p>
        </w:tc>
        <w:tc>
          <w:tcPr>
            <w:tcW w:w="48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szCs w:val="21"/>
              </w:rPr>
            </w:pPr>
            <w:r>
              <w:rPr>
                <w:rFonts w:hint="eastAsia" w:ascii="仿宋" w:hAnsi="仿宋" w:eastAsia="仿宋" w:cs="仿宋"/>
                <w:szCs w:val="21"/>
              </w:rPr>
              <w:t>300</w:t>
            </w:r>
          </w:p>
        </w:tc>
      </w:tr>
    </w:tbl>
    <w:p>
      <w:pPr>
        <w:pStyle w:val="3"/>
        <w:ind w:firstLine="0" w:firstLineChars="0"/>
      </w:pPr>
    </w:p>
    <w:p>
      <w:pPr>
        <w:pStyle w:val="3"/>
        <w:ind w:firstLine="643"/>
      </w:pPr>
      <w:bookmarkStart w:id="57" w:name="_Toc164347846"/>
      <w:r>
        <w:rPr>
          <w:rFonts w:hint="eastAsia"/>
        </w:rPr>
        <w:t>（四）教师队伍建设项目</w:t>
      </w:r>
      <w:bookmarkEnd w:id="57"/>
    </w:p>
    <w:p>
      <w:pPr>
        <w:pStyle w:val="4"/>
      </w:pPr>
      <w:bookmarkStart w:id="58" w:name="_Toc164347847"/>
      <w:r>
        <w:rPr>
          <w:rFonts w:hint="eastAsia"/>
        </w:rPr>
        <w:t>1.</w:t>
      </w:r>
      <w:bookmarkStart w:id="59" w:name="_Toc25738"/>
      <w:r>
        <w:rPr>
          <w:rFonts w:hint="eastAsia"/>
        </w:rPr>
        <w:fldChar w:fldCharType="begin"/>
      </w:r>
      <w:r>
        <w:rPr>
          <w:rFonts w:hint="eastAsia"/>
        </w:rPr>
        <w:instrText xml:space="preserve"> HYPERLINK \l "_Toc17780" </w:instrText>
      </w:r>
      <w:r>
        <w:rPr>
          <w:rFonts w:hint="eastAsia"/>
        </w:rPr>
        <w:fldChar w:fldCharType="separate"/>
      </w:r>
      <w:r>
        <w:rPr>
          <w:rFonts w:hint="eastAsia"/>
        </w:rPr>
        <w:t>“双师型”专业教师队伍建设项目</w:t>
      </w:r>
      <w:bookmarkEnd w:id="58"/>
      <w:r>
        <w:rPr>
          <w:rFonts w:hint="eastAsia"/>
        </w:rPr>
        <w:fldChar w:fldCharType="end"/>
      </w:r>
      <w:bookmarkEnd w:id="59"/>
    </w:p>
    <w:p>
      <w:pPr>
        <w:spacing w:line="54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（1）必要性和可行性</w:t>
      </w:r>
    </w:p>
    <w:p>
      <w:pPr>
        <w:spacing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根据</w:t>
      </w:r>
      <w:r>
        <w:rPr>
          <w:rFonts w:ascii="仿宋" w:hAnsi="仿宋" w:eastAsia="仿宋" w:cs="仿宋"/>
          <w:bCs/>
          <w:sz w:val="28"/>
          <w:szCs w:val="28"/>
        </w:rPr>
        <w:t>教育部办公厅</w:t>
      </w:r>
      <w:r>
        <w:rPr>
          <w:rFonts w:hint="eastAsia" w:ascii="仿宋" w:hAnsi="仿宋" w:eastAsia="仿宋" w:cs="仿宋"/>
          <w:bCs/>
          <w:sz w:val="28"/>
          <w:szCs w:val="28"/>
        </w:rPr>
        <w:t>《</w:t>
      </w:r>
      <w:r>
        <w:rPr>
          <w:rFonts w:ascii="仿宋" w:hAnsi="仿宋" w:eastAsia="仿宋" w:cs="仿宋"/>
          <w:bCs/>
          <w:sz w:val="28"/>
          <w:szCs w:val="28"/>
        </w:rPr>
        <w:t>关于做好职业教育“双师型”教师认定工作的通知</w:t>
      </w:r>
      <w:r>
        <w:rPr>
          <w:rFonts w:hint="eastAsia" w:ascii="仿宋" w:hAnsi="仿宋" w:eastAsia="仿宋" w:cs="仿宋"/>
          <w:bCs/>
          <w:sz w:val="28"/>
          <w:szCs w:val="28"/>
        </w:rPr>
        <w:t>》要求，职业院校教师必须按照“双师型”教师基本标准，紧跟产业发展趋势和行业人才需求，积极深入企业和生产服务一线进行岗位实践，理解所教专业（群）与产业的关系，了解产业发展、行业需求和职业岗位变化，及时将新技术、新工艺、新规范融入教学。</w:t>
      </w:r>
    </w:p>
    <w:p>
      <w:pPr>
        <w:spacing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根据广东</w:t>
      </w:r>
      <w:r>
        <w:rPr>
          <w:rFonts w:ascii="仿宋" w:hAnsi="仿宋" w:eastAsia="仿宋" w:cs="仿宋"/>
          <w:bCs/>
          <w:sz w:val="28"/>
          <w:szCs w:val="28"/>
        </w:rPr>
        <w:t>省</w:t>
      </w:r>
      <w:r>
        <w:rPr>
          <w:rFonts w:hint="eastAsia" w:ascii="仿宋" w:hAnsi="仿宋" w:eastAsia="仿宋" w:cs="仿宋"/>
          <w:bCs/>
          <w:sz w:val="28"/>
          <w:szCs w:val="28"/>
        </w:rPr>
        <w:t>教育</w:t>
      </w:r>
      <w:r>
        <w:rPr>
          <w:rFonts w:ascii="仿宋" w:hAnsi="仿宋" w:eastAsia="仿宋" w:cs="仿宋"/>
          <w:bCs/>
          <w:sz w:val="28"/>
          <w:szCs w:val="28"/>
        </w:rPr>
        <w:t>厅关于</w:t>
      </w:r>
      <w:r>
        <w:rPr>
          <w:rFonts w:hint="eastAsia" w:ascii="仿宋" w:hAnsi="仿宋" w:eastAsia="仿宋" w:cs="仿宋"/>
          <w:bCs/>
          <w:sz w:val="28"/>
          <w:szCs w:val="28"/>
        </w:rPr>
        <w:t>印发</w:t>
      </w:r>
      <w:r>
        <w:rPr>
          <w:rFonts w:ascii="仿宋" w:hAnsi="仿宋" w:eastAsia="仿宋" w:cs="仿宋"/>
          <w:bCs/>
          <w:sz w:val="28"/>
          <w:szCs w:val="28"/>
        </w:rPr>
        <w:t>《</w:t>
      </w:r>
      <w:r>
        <w:rPr>
          <w:rFonts w:hint="eastAsia" w:ascii="仿宋" w:hAnsi="仿宋" w:eastAsia="仿宋" w:cs="仿宋"/>
          <w:bCs/>
          <w:sz w:val="28"/>
          <w:szCs w:val="28"/>
        </w:rPr>
        <w:t>广东</w:t>
      </w:r>
      <w:r>
        <w:rPr>
          <w:rFonts w:ascii="仿宋" w:hAnsi="仿宋" w:eastAsia="仿宋" w:cs="仿宋"/>
          <w:bCs/>
          <w:sz w:val="28"/>
          <w:szCs w:val="28"/>
        </w:rPr>
        <w:t>省</w:t>
      </w:r>
      <w:r>
        <w:rPr>
          <w:rFonts w:hint="eastAsia" w:ascii="仿宋" w:hAnsi="仿宋" w:eastAsia="仿宋" w:cs="仿宋"/>
          <w:bCs/>
          <w:sz w:val="28"/>
          <w:szCs w:val="28"/>
        </w:rPr>
        <w:t>职业</w:t>
      </w:r>
      <w:r>
        <w:rPr>
          <w:rFonts w:ascii="仿宋" w:hAnsi="仿宋" w:eastAsia="仿宋" w:cs="仿宋"/>
          <w:bCs/>
          <w:sz w:val="28"/>
          <w:szCs w:val="28"/>
        </w:rPr>
        <w:t>教育“双师型”教师</w:t>
      </w:r>
      <w:r>
        <w:rPr>
          <w:rFonts w:hint="eastAsia" w:ascii="仿宋" w:hAnsi="仿宋" w:eastAsia="仿宋" w:cs="仿宋"/>
          <w:bCs/>
          <w:sz w:val="28"/>
          <w:szCs w:val="28"/>
        </w:rPr>
        <w:t>认定工作</w:t>
      </w:r>
      <w:r>
        <w:rPr>
          <w:rFonts w:ascii="仿宋" w:hAnsi="仿宋" w:eastAsia="仿宋" w:cs="仿宋"/>
          <w:bCs/>
          <w:sz w:val="28"/>
          <w:szCs w:val="28"/>
        </w:rPr>
        <w:t>方案》</w:t>
      </w:r>
      <w:r>
        <w:rPr>
          <w:rFonts w:hint="eastAsia" w:ascii="仿宋" w:hAnsi="仿宋" w:eastAsia="仿宋" w:cs="仿宋"/>
          <w:bCs/>
          <w:sz w:val="28"/>
          <w:szCs w:val="28"/>
        </w:rPr>
        <w:t>的</w:t>
      </w:r>
      <w:r>
        <w:rPr>
          <w:rFonts w:ascii="仿宋" w:hAnsi="仿宋" w:eastAsia="仿宋" w:cs="仿宋"/>
          <w:bCs/>
          <w:sz w:val="28"/>
          <w:szCs w:val="28"/>
        </w:rPr>
        <w:t>通知要求，</w:t>
      </w:r>
      <w:r>
        <w:rPr>
          <w:rFonts w:hint="eastAsia" w:ascii="仿宋" w:hAnsi="仿宋" w:eastAsia="仿宋" w:cs="仿宋"/>
          <w:bCs/>
          <w:sz w:val="28"/>
          <w:szCs w:val="28"/>
        </w:rPr>
        <w:t>学校已经制定《惠州工程职业学院“双师”素质教师队伍建设实施办法》和《惠州工程职业学院教师企业实践实施办法》，并根据学校办法认定了</w:t>
      </w:r>
      <w:r>
        <w:rPr>
          <w:rFonts w:ascii="仿宋" w:hAnsi="仿宋" w:eastAsia="仿宋" w:cs="仿宋"/>
          <w:color w:val="000000"/>
          <w:kern w:val="0"/>
          <w:sz w:val="31"/>
          <w:szCs w:val="31"/>
          <w:lang w:bidi="ar"/>
        </w:rPr>
        <w:t xml:space="preserve">241 </w:t>
      </w:r>
      <w:r>
        <w:rPr>
          <w:rFonts w:hint="eastAsia" w:ascii="仿宋" w:hAnsi="仿宋" w:eastAsia="仿宋" w:cs="仿宋"/>
          <w:color w:val="000000"/>
          <w:kern w:val="0"/>
          <w:sz w:val="31"/>
          <w:szCs w:val="31"/>
          <w:lang w:bidi="ar"/>
        </w:rPr>
        <w:t>名</w:t>
      </w:r>
      <w:r>
        <w:rPr>
          <w:rFonts w:ascii="仿宋" w:hAnsi="仿宋" w:eastAsia="仿宋" w:cs="仿宋"/>
          <w:color w:val="000000"/>
          <w:kern w:val="0"/>
          <w:sz w:val="31"/>
          <w:szCs w:val="31"/>
          <w:lang w:bidi="ar"/>
        </w:rPr>
        <w:t>“双师型”专业课教师</w:t>
      </w:r>
      <w:r>
        <w:rPr>
          <w:rFonts w:hint="eastAsia" w:ascii="仿宋" w:hAnsi="仿宋" w:eastAsia="仿宋" w:cs="仿宋"/>
          <w:color w:val="000000"/>
          <w:kern w:val="0"/>
          <w:sz w:val="31"/>
          <w:szCs w:val="31"/>
          <w:lang w:bidi="ar"/>
        </w:rPr>
        <w:t>，为推进学校“双师型”专业教师队伍建设提供了基础。</w:t>
      </w:r>
    </w:p>
    <w:p>
      <w:pPr>
        <w:spacing w:line="54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（2）拟解决的关键问题</w:t>
      </w:r>
    </w:p>
    <w:p>
      <w:pPr>
        <w:spacing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以广东省教育</w:t>
      </w:r>
      <w:r>
        <w:rPr>
          <w:rFonts w:ascii="仿宋" w:hAnsi="仿宋" w:eastAsia="仿宋" w:cs="仿宋"/>
          <w:bCs/>
          <w:sz w:val="28"/>
          <w:szCs w:val="28"/>
        </w:rPr>
        <w:t>厅关于印发</w:t>
      </w:r>
      <w:r>
        <w:rPr>
          <w:rFonts w:hint="eastAsia" w:ascii="仿宋" w:hAnsi="仿宋" w:eastAsia="仿宋" w:cs="仿宋"/>
          <w:bCs/>
          <w:sz w:val="28"/>
          <w:szCs w:val="28"/>
        </w:rPr>
        <w:t>《</w:t>
      </w:r>
      <w:r>
        <w:rPr>
          <w:rFonts w:ascii="仿宋" w:hAnsi="仿宋" w:eastAsia="仿宋" w:cs="仿宋"/>
          <w:bCs/>
          <w:sz w:val="28"/>
          <w:szCs w:val="28"/>
        </w:rPr>
        <w:t>广东省职业教育“双师型”教师认定</w:t>
      </w:r>
      <w:r>
        <w:rPr>
          <w:rFonts w:hint="eastAsia" w:ascii="仿宋" w:hAnsi="仿宋" w:eastAsia="仿宋" w:cs="仿宋"/>
          <w:bCs/>
          <w:sz w:val="28"/>
          <w:szCs w:val="28"/>
        </w:rPr>
        <w:t>工作</w:t>
      </w:r>
      <w:r>
        <w:rPr>
          <w:rFonts w:ascii="仿宋" w:hAnsi="仿宋" w:eastAsia="仿宋" w:cs="仿宋"/>
          <w:bCs/>
          <w:sz w:val="28"/>
          <w:szCs w:val="28"/>
        </w:rPr>
        <w:t>方案</w:t>
      </w:r>
      <w:r>
        <w:rPr>
          <w:rFonts w:hint="eastAsia" w:ascii="仿宋" w:hAnsi="仿宋" w:eastAsia="仿宋" w:cs="仿宋"/>
          <w:bCs/>
          <w:sz w:val="28"/>
          <w:szCs w:val="28"/>
        </w:rPr>
        <w:t>》（</w:t>
      </w:r>
      <w:r>
        <w:rPr>
          <w:rFonts w:ascii="仿宋" w:hAnsi="仿宋" w:eastAsia="仿宋" w:cs="仿宋"/>
          <w:bCs/>
          <w:sz w:val="28"/>
          <w:szCs w:val="28"/>
        </w:rPr>
        <w:t>粤教师函</w:t>
      </w:r>
      <w:r>
        <w:rPr>
          <w:rFonts w:hint="eastAsia" w:ascii="仿宋" w:hAnsi="仿宋" w:eastAsia="仿宋" w:cs="仿宋"/>
          <w:bCs/>
          <w:sz w:val="28"/>
          <w:szCs w:val="28"/>
        </w:rPr>
        <w:t>﹝2023﹞25号</w:t>
      </w:r>
      <w:r>
        <w:rPr>
          <w:rFonts w:ascii="仿宋" w:hAnsi="仿宋" w:eastAsia="仿宋" w:cs="仿宋"/>
          <w:bCs/>
          <w:sz w:val="28"/>
          <w:szCs w:val="28"/>
        </w:rPr>
        <w:t>）的通知</w:t>
      </w:r>
      <w:r>
        <w:rPr>
          <w:rFonts w:hint="eastAsia" w:ascii="仿宋" w:hAnsi="仿宋" w:eastAsia="仿宋" w:cs="仿宋"/>
          <w:bCs/>
          <w:sz w:val="28"/>
          <w:szCs w:val="28"/>
        </w:rPr>
        <w:t>要求为</w:t>
      </w:r>
      <w:r>
        <w:rPr>
          <w:rFonts w:ascii="仿宋" w:hAnsi="仿宋" w:eastAsia="仿宋" w:cs="仿宋"/>
          <w:bCs/>
          <w:sz w:val="28"/>
          <w:szCs w:val="28"/>
        </w:rPr>
        <w:t>“双师型”教师认定为政策制度蓝本</w:t>
      </w:r>
      <w:r>
        <w:rPr>
          <w:rFonts w:hint="eastAsia" w:ascii="仿宋" w:hAnsi="仿宋" w:eastAsia="仿宋" w:cs="仿宋"/>
          <w:bCs/>
          <w:sz w:val="28"/>
          <w:szCs w:val="28"/>
        </w:rPr>
        <w:t>组织开展校</w:t>
      </w:r>
      <w:r>
        <w:rPr>
          <w:rFonts w:ascii="仿宋" w:hAnsi="仿宋" w:eastAsia="仿宋" w:cs="仿宋"/>
          <w:bCs/>
          <w:sz w:val="28"/>
          <w:szCs w:val="28"/>
        </w:rPr>
        <w:t>本双师认定</w:t>
      </w:r>
      <w:r>
        <w:rPr>
          <w:rFonts w:hint="eastAsia" w:ascii="仿宋" w:hAnsi="仿宋" w:eastAsia="仿宋" w:cs="仿宋"/>
          <w:bCs/>
          <w:sz w:val="28"/>
          <w:szCs w:val="28"/>
        </w:rPr>
        <w:t>工作</w:t>
      </w:r>
      <w:r>
        <w:rPr>
          <w:rFonts w:ascii="仿宋" w:hAnsi="仿宋" w:eastAsia="仿宋" w:cs="仿宋"/>
          <w:bCs/>
          <w:sz w:val="28"/>
          <w:szCs w:val="28"/>
        </w:rPr>
        <w:t>。</w:t>
      </w:r>
      <w:r>
        <w:rPr>
          <w:rFonts w:hint="eastAsia" w:ascii="仿宋" w:hAnsi="仿宋" w:eastAsia="仿宋" w:cs="仿宋"/>
          <w:bCs/>
          <w:sz w:val="28"/>
          <w:szCs w:val="28"/>
        </w:rPr>
        <w:t>另</w:t>
      </w:r>
      <w:r>
        <w:rPr>
          <w:rFonts w:ascii="仿宋" w:hAnsi="仿宋" w:eastAsia="仿宋" w:cs="仿宋"/>
          <w:bCs/>
          <w:sz w:val="28"/>
          <w:szCs w:val="28"/>
        </w:rPr>
        <w:t>外，</w:t>
      </w:r>
      <w:r>
        <w:rPr>
          <w:rFonts w:hint="eastAsia" w:ascii="仿宋" w:hAnsi="仿宋" w:eastAsia="仿宋" w:cs="仿宋"/>
          <w:bCs/>
          <w:sz w:val="28"/>
          <w:szCs w:val="28"/>
        </w:rPr>
        <w:t>从</w:t>
      </w:r>
      <w:r>
        <w:rPr>
          <w:rFonts w:ascii="仿宋" w:hAnsi="仿宋" w:eastAsia="仿宋" w:cs="仿宋"/>
          <w:bCs/>
          <w:sz w:val="28"/>
          <w:szCs w:val="28"/>
        </w:rPr>
        <w:t>企业</w:t>
      </w:r>
      <w:r>
        <w:rPr>
          <w:rFonts w:hint="eastAsia" w:ascii="仿宋" w:hAnsi="仿宋" w:eastAsia="仿宋" w:cs="仿宋"/>
          <w:bCs/>
          <w:sz w:val="28"/>
          <w:szCs w:val="28"/>
        </w:rPr>
        <w:t>挖掘</w:t>
      </w:r>
      <w:r>
        <w:rPr>
          <w:rFonts w:ascii="仿宋" w:hAnsi="仿宋" w:eastAsia="仿宋" w:cs="仿宋"/>
          <w:bCs/>
          <w:sz w:val="28"/>
          <w:szCs w:val="28"/>
        </w:rPr>
        <w:t>具有一定企业实践管理经验的人才，</w:t>
      </w:r>
      <w:r>
        <w:rPr>
          <w:rFonts w:hint="eastAsia" w:ascii="仿宋" w:hAnsi="仿宋" w:eastAsia="仿宋" w:cs="仿宋"/>
          <w:bCs/>
          <w:sz w:val="28"/>
          <w:szCs w:val="28"/>
        </w:rPr>
        <w:t>提高</w:t>
      </w:r>
      <w:r>
        <w:rPr>
          <w:rFonts w:ascii="仿宋" w:hAnsi="仿宋" w:eastAsia="仿宋" w:cs="仿宋"/>
          <w:bCs/>
          <w:sz w:val="28"/>
          <w:szCs w:val="28"/>
        </w:rPr>
        <w:t>其教学</w:t>
      </w:r>
      <w:r>
        <w:rPr>
          <w:rFonts w:hint="eastAsia" w:ascii="仿宋" w:hAnsi="仿宋" w:eastAsia="仿宋" w:cs="仿宋"/>
          <w:bCs/>
          <w:sz w:val="28"/>
          <w:szCs w:val="28"/>
        </w:rPr>
        <w:t>技能水平，使</w:t>
      </w:r>
      <w:r>
        <w:rPr>
          <w:rFonts w:ascii="仿宋" w:hAnsi="仿宋" w:eastAsia="仿宋" w:cs="仿宋"/>
          <w:bCs/>
          <w:sz w:val="28"/>
          <w:szCs w:val="28"/>
        </w:rPr>
        <w:t>之迅速成为“双师型”</w:t>
      </w:r>
      <w:r>
        <w:rPr>
          <w:rFonts w:hint="eastAsia" w:ascii="仿宋" w:hAnsi="仿宋" w:eastAsia="仿宋" w:cs="仿宋"/>
          <w:bCs/>
          <w:sz w:val="28"/>
          <w:szCs w:val="28"/>
        </w:rPr>
        <w:t>人才</w:t>
      </w:r>
      <w:r>
        <w:rPr>
          <w:rFonts w:ascii="仿宋" w:hAnsi="仿宋" w:eastAsia="仿宋" w:cs="仿宋"/>
          <w:bCs/>
          <w:sz w:val="28"/>
          <w:szCs w:val="28"/>
        </w:rPr>
        <w:t>；通过引进人才和校内培育方式打造</w:t>
      </w:r>
      <w:r>
        <w:rPr>
          <w:rFonts w:hint="eastAsia" w:ascii="仿宋" w:hAnsi="仿宋" w:eastAsia="仿宋" w:cs="仿宋"/>
          <w:bCs/>
          <w:sz w:val="28"/>
          <w:szCs w:val="28"/>
        </w:rPr>
        <w:t>国家</w:t>
      </w:r>
      <w:r>
        <w:rPr>
          <w:rFonts w:ascii="仿宋" w:hAnsi="仿宋" w:eastAsia="仿宋" w:cs="仿宋"/>
          <w:bCs/>
          <w:sz w:val="28"/>
          <w:szCs w:val="28"/>
        </w:rPr>
        <w:t>级和省级教学名师</w:t>
      </w:r>
      <w:r>
        <w:rPr>
          <w:rFonts w:hint="eastAsia" w:ascii="仿宋" w:hAnsi="仿宋" w:eastAsia="仿宋" w:cs="仿宋"/>
          <w:bCs/>
          <w:sz w:val="28"/>
          <w:szCs w:val="28"/>
        </w:rPr>
        <w:t>团队</w:t>
      </w:r>
      <w:r>
        <w:rPr>
          <w:rFonts w:ascii="仿宋" w:hAnsi="仿宋" w:eastAsia="仿宋" w:cs="仿宋"/>
          <w:bCs/>
          <w:sz w:val="28"/>
          <w:szCs w:val="28"/>
        </w:rPr>
        <w:t>、技能大师工作室</w:t>
      </w:r>
      <w:r>
        <w:rPr>
          <w:rFonts w:hint="eastAsia" w:ascii="仿宋" w:hAnsi="仿宋" w:eastAsia="仿宋" w:cs="仿宋"/>
          <w:bCs/>
          <w:sz w:val="28"/>
          <w:szCs w:val="28"/>
        </w:rPr>
        <w:t>，</w:t>
      </w:r>
      <w:r>
        <w:rPr>
          <w:rFonts w:ascii="仿宋" w:hAnsi="仿宋" w:eastAsia="仿宋" w:cs="仿宋"/>
          <w:bCs/>
          <w:sz w:val="28"/>
          <w:szCs w:val="28"/>
        </w:rPr>
        <w:t>提升</w:t>
      </w:r>
      <w:r>
        <w:rPr>
          <w:rFonts w:hint="eastAsia" w:ascii="仿宋" w:hAnsi="仿宋" w:eastAsia="仿宋" w:cs="仿宋"/>
          <w:bCs/>
          <w:sz w:val="28"/>
          <w:szCs w:val="28"/>
        </w:rPr>
        <w:t>“</w:t>
      </w:r>
      <w:r>
        <w:rPr>
          <w:rFonts w:ascii="仿宋" w:hAnsi="仿宋" w:eastAsia="仿宋" w:cs="仿宋"/>
          <w:bCs/>
          <w:sz w:val="28"/>
          <w:szCs w:val="28"/>
        </w:rPr>
        <w:t>双师型”人才的素质和水平。</w:t>
      </w:r>
    </w:p>
    <w:p>
      <w:pPr>
        <w:spacing w:line="54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（3）建设目标</w:t>
      </w:r>
    </w:p>
    <w:p>
      <w:pPr>
        <w:spacing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引进一批有行业企业高管经验的双师教师和高层次人才，打造国家级教学名师和教师团队1名（支），省级教学名师和教学团队2名（支），省级教学创新团队2支。建设省级技能大师工作室2个以上，示范性职工培训基地4个，引育高层次技能型兼职教师2名以上，专业（群）带头人5名。具备双师素质的教师占比达80%以上。形成由校内外名师大师、领军人才、带头人、中青年骨干教师梯队层次清晰、结构优化的双师型教师队伍。</w:t>
      </w:r>
    </w:p>
    <w:p>
      <w:pPr>
        <w:spacing w:line="54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（4）重点建设任务</w:t>
      </w:r>
    </w:p>
    <w:p>
      <w:pPr>
        <w:spacing w:line="540" w:lineRule="exact"/>
        <w:ind w:firstLine="562" w:firstLineChars="200"/>
        <w:rPr>
          <w:rFonts w:ascii="仿宋" w:hAnsi="仿宋" w:eastAsia="仿宋" w:cs="仿宋"/>
          <w:b/>
          <w:sz w:val="28"/>
          <w:szCs w:val="28"/>
        </w:rPr>
      </w:pPr>
      <w:r>
        <w:rPr>
          <w:rFonts w:ascii="仿宋" w:hAnsi="仿宋" w:eastAsia="仿宋" w:cs="仿宋"/>
          <w:b/>
          <w:sz w:val="28"/>
          <w:szCs w:val="28"/>
        </w:rPr>
        <w:fldChar w:fldCharType="begin"/>
      </w:r>
      <w:r>
        <w:rPr>
          <w:rFonts w:ascii="仿宋" w:hAnsi="仿宋" w:eastAsia="仿宋" w:cs="仿宋"/>
          <w:b/>
          <w:sz w:val="28"/>
          <w:szCs w:val="28"/>
        </w:rPr>
        <w:instrText xml:space="preserve"> </w:instrText>
      </w:r>
      <w:r>
        <w:rPr>
          <w:rFonts w:hint="eastAsia" w:ascii="仿宋" w:hAnsi="仿宋" w:eastAsia="仿宋" w:cs="仿宋"/>
          <w:b/>
          <w:sz w:val="28"/>
          <w:szCs w:val="28"/>
        </w:rPr>
        <w:instrText xml:space="preserve">= 1 \* GB3</w:instrText>
      </w:r>
      <w:r>
        <w:rPr>
          <w:rFonts w:ascii="仿宋" w:hAnsi="仿宋" w:eastAsia="仿宋" w:cs="仿宋"/>
          <w:b/>
          <w:sz w:val="28"/>
          <w:szCs w:val="28"/>
        </w:rPr>
        <w:instrText xml:space="preserve"> </w:instrText>
      </w:r>
      <w:r>
        <w:rPr>
          <w:rFonts w:ascii="仿宋" w:hAnsi="仿宋" w:eastAsia="仿宋" w:cs="仿宋"/>
          <w:b/>
          <w:sz w:val="28"/>
          <w:szCs w:val="28"/>
        </w:rPr>
        <w:fldChar w:fldCharType="separate"/>
      </w:r>
      <w:r>
        <w:rPr>
          <w:rFonts w:hint="eastAsia" w:ascii="仿宋" w:hAnsi="仿宋" w:eastAsia="仿宋" w:cs="仿宋"/>
          <w:b/>
          <w:sz w:val="28"/>
          <w:szCs w:val="28"/>
        </w:rPr>
        <w:t>①</w:t>
      </w:r>
      <w:r>
        <w:rPr>
          <w:rFonts w:ascii="仿宋" w:hAnsi="仿宋" w:eastAsia="仿宋" w:cs="仿宋"/>
          <w:b/>
          <w:sz w:val="28"/>
          <w:szCs w:val="28"/>
        </w:rPr>
        <w:fldChar w:fldCharType="end"/>
      </w:r>
      <w:r>
        <w:rPr>
          <w:rFonts w:hint="eastAsia" w:ascii="仿宋" w:hAnsi="仿宋" w:eastAsia="仿宋" w:cs="仿宋"/>
          <w:b/>
          <w:sz w:val="28"/>
          <w:szCs w:val="28"/>
        </w:rPr>
        <w:t xml:space="preserve"> 通过“双师型”企业实践基地和校本共育，强化“双师型”教师队伍建设</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建立双师型教师培养培训基地，完善企业轮训推动机制。面向大湾区，联合区内有影响力的大型企业、有代表性的中小型企业建立一批类型有区分、侧重有不同、任务有针对的双师型教师培养培训基地。</w:t>
      </w:r>
    </w:p>
    <w:p>
      <w:pPr>
        <w:spacing w:line="540" w:lineRule="exact"/>
        <w:ind w:firstLine="562" w:firstLineChars="200"/>
        <w:rPr>
          <w:rFonts w:ascii="仿宋" w:hAnsi="仿宋" w:eastAsia="仿宋" w:cs="仿宋"/>
          <w:b/>
          <w:sz w:val="28"/>
          <w:szCs w:val="28"/>
        </w:rPr>
      </w:pPr>
      <w:r>
        <w:rPr>
          <w:rFonts w:ascii="仿宋" w:hAnsi="仿宋" w:eastAsia="仿宋" w:cs="仿宋"/>
          <w:b/>
          <w:sz w:val="28"/>
          <w:szCs w:val="28"/>
        </w:rPr>
        <w:fldChar w:fldCharType="begin"/>
      </w:r>
      <w:r>
        <w:rPr>
          <w:rFonts w:ascii="仿宋" w:hAnsi="仿宋" w:eastAsia="仿宋" w:cs="仿宋"/>
          <w:b/>
          <w:sz w:val="28"/>
          <w:szCs w:val="28"/>
        </w:rPr>
        <w:instrText xml:space="preserve"> </w:instrText>
      </w:r>
      <w:r>
        <w:rPr>
          <w:rFonts w:hint="eastAsia" w:ascii="仿宋" w:hAnsi="仿宋" w:eastAsia="仿宋" w:cs="仿宋"/>
          <w:b/>
          <w:sz w:val="28"/>
          <w:szCs w:val="28"/>
        </w:rPr>
        <w:instrText xml:space="preserve">= 2 \* GB3</w:instrText>
      </w:r>
      <w:r>
        <w:rPr>
          <w:rFonts w:ascii="仿宋" w:hAnsi="仿宋" w:eastAsia="仿宋" w:cs="仿宋"/>
          <w:b/>
          <w:sz w:val="28"/>
          <w:szCs w:val="28"/>
        </w:rPr>
        <w:instrText xml:space="preserve"> </w:instrText>
      </w:r>
      <w:r>
        <w:rPr>
          <w:rFonts w:ascii="仿宋" w:hAnsi="仿宋" w:eastAsia="仿宋" w:cs="仿宋"/>
          <w:b/>
          <w:sz w:val="28"/>
          <w:szCs w:val="28"/>
        </w:rPr>
        <w:fldChar w:fldCharType="separate"/>
      </w:r>
      <w:r>
        <w:rPr>
          <w:rFonts w:hint="eastAsia" w:ascii="仿宋" w:hAnsi="仿宋" w:eastAsia="仿宋" w:cs="仿宋"/>
          <w:b/>
          <w:sz w:val="28"/>
          <w:szCs w:val="28"/>
        </w:rPr>
        <w:t>②</w:t>
      </w:r>
      <w:r>
        <w:rPr>
          <w:rFonts w:ascii="仿宋" w:hAnsi="仿宋" w:eastAsia="仿宋" w:cs="仿宋"/>
          <w:b/>
          <w:sz w:val="28"/>
          <w:szCs w:val="28"/>
        </w:rPr>
        <w:fldChar w:fldCharType="end"/>
      </w:r>
      <w:r>
        <w:rPr>
          <w:rFonts w:hint="eastAsia" w:ascii="仿宋" w:hAnsi="仿宋" w:eastAsia="仿宋" w:cs="仿宋"/>
          <w:b/>
          <w:sz w:val="28"/>
          <w:szCs w:val="28"/>
        </w:rPr>
        <w:t xml:space="preserve"> 强化教</w:t>
      </w:r>
      <w:r>
        <w:rPr>
          <w:rFonts w:ascii="仿宋" w:hAnsi="仿宋" w:eastAsia="仿宋" w:cs="仿宋"/>
          <w:b/>
          <w:sz w:val="28"/>
          <w:szCs w:val="28"/>
        </w:rPr>
        <w:t>师下企业实践，提升</w:t>
      </w:r>
      <w:r>
        <w:rPr>
          <w:rFonts w:hint="eastAsia" w:ascii="仿宋" w:hAnsi="仿宋" w:eastAsia="仿宋" w:cs="仿宋"/>
          <w:b/>
          <w:sz w:val="28"/>
          <w:szCs w:val="28"/>
        </w:rPr>
        <w:t>技能</w:t>
      </w:r>
      <w:r>
        <w:rPr>
          <w:rFonts w:ascii="仿宋" w:hAnsi="仿宋" w:eastAsia="仿宋" w:cs="仿宋"/>
          <w:b/>
          <w:sz w:val="28"/>
          <w:szCs w:val="28"/>
        </w:rPr>
        <w:t>实践水平</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制定完善《惠州工程职业学院教师下企业实践管理办法》，通过组织选派、自主选择相结合的方式，落实教师每年至少1个月在企业或实训基地实训等要求，探索新教师为期1年教育见习和3年企业实践工作机制。建立教师企业实践工作标准，完善管理制度，加强督导监督，提高实践效果。</w:t>
      </w:r>
    </w:p>
    <w:p>
      <w:pPr>
        <w:spacing w:line="540" w:lineRule="exact"/>
        <w:ind w:firstLine="562" w:firstLineChars="200"/>
        <w:rPr>
          <w:rFonts w:ascii="仿宋" w:hAnsi="仿宋" w:eastAsia="仿宋" w:cs="仿宋"/>
          <w:b/>
          <w:sz w:val="28"/>
          <w:szCs w:val="28"/>
        </w:rPr>
      </w:pPr>
      <w:r>
        <w:rPr>
          <w:rFonts w:ascii="仿宋" w:hAnsi="仿宋" w:eastAsia="仿宋" w:cs="仿宋"/>
          <w:b/>
          <w:sz w:val="28"/>
          <w:szCs w:val="28"/>
        </w:rPr>
        <w:fldChar w:fldCharType="begin"/>
      </w:r>
      <w:r>
        <w:rPr>
          <w:rFonts w:ascii="仿宋" w:hAnsi="仿宋" w:eastAsia="仿宋" w:cs="仿宋"/>
          <w:b/>
          <w:sz w:val="28"/>
          <w:szCs w:val="28"/>
        </w:rPr>
        <w:instrText xml:space="preserve"> </w:instrText>
      </w:r>
      <w:r>
        <w:rPr>
          <w:rFonts w:hint="eastAsia" w:ascii="仿宋" w:hAnsi="仿宋" w:eastAsia="仿宋" w:cs="仿宋"/>
          <w:b/>
          <w:sz w:val="28"/>
          <w:szCs w:val="28"/>
        </w:rPr>
        <w:instrText xml:space="preserve">= 3 \* GB3</w:instrText>
      </w:r>
      <w:r>
        <w:rPr>
          <w:rFonts w:ascii="仿宋" w:hAnsi="仿宋" w:eastAsia="仿宋" w:cs="仿宋"/>
          <w:b/>
          <w:sz w:val="28"/>
          <w:szCs w:val="28"/>
        </w:rPr>
        <w:instrText xml:space="preserve"> </w:instrText>
      </w:r>
      <w:r>
        <w:rPr>
          <w:rFonts w:ascii="仿宋" w:hAnsi="仿宋" w:eastAsia="仿宋" w:cs="仿宋"/>
          <w:b/>
          <w:sz w:val="28"/>
          <w:szCs w:val="28"/>
        </w:rPr>
        <w:fldChar w:fldCharType="separate"/>
      </w:r>
      <w:r>
        <w:rPr>
          <w:rFonts w:hint="eastAsia" w:ascii="仿宋" w:hAnsi="仿宋" w:eastAsia="仿宋" w:cs="仿宋"/>
          <w:b/>
          <w:sz w:val="28"/>
          <w:szCs w:val="28"/>
        </w:rPr>
        <w:t>③</w:t>
      </w:r>
      <w:r>
        <w:rPr>
          <w:rFonts w:ascii="仿宋" w:hAnsi="仿宋" w:eastAsia="仿宋" w:cs="仿宋"/>
          <w:b/>
          <w:sz w:val="28"/>
          <w:szCs w:val="28"/>
        </w:rPr>
        <w:fldChar w:fldCharType="end"/>
      </w:r>
      <w:r>
        <w:rPr>
          <w:rFonts w:hint="eastAsia" w:ascii="仿宋" w:hAnsi="仿宋" w:eastAsia="仿宋" w:cs="仿宋"/>
          <w:b/>
          <w:sz w:val="28"/>
          <w:szCs w:val="28"/>
        </w:rPr>
        <w:t xml:space="preserve"> 通过</w:t>
      </w:r>
      <w:r>
        <w:rPr>
          <w:rFonts w:ascii="仿宋" w:hAnsi="仿宋" w:eastAsia="仿宋" w:cs="仿宋"/>
          <w:b/>
          <w:sz w:val="28"/>
          <w:szCs w:val="28"/>
        </w:rPr>
        <w:t>引进和校本培育方式，</w:t>
      </w:r>
      <w:r>
        <w:rPr>
          <w:rFonts w:hint="eastAsia" w:ascii="仿宋" w:hAnsi="仿宋" w:eastAsia="仿宋" w:cs="仿宋"/>
          <w:b/>
          <w:sz w:val="28"/>
          <w:szCs w:val="28"/>
        </w:rPr>
        <w:t>打造高质量</w:t>
      </w:r>
      <w:r>
        <w:rPr>
          <w:rFonts w:ascii="仿宋" w:hAnsi="仿宋" w:eastAsia="仿宋" w:cs="仿宋"/>
          <w:b/>
          <w:sz w:val="28"/>
          <w:szCs w:val="28"/>
        </w:rPr>
        <w:t>“双师</w:t>
      </w:r>
      <w:r>
        <w:rPr>
          <w:rFonts w:hint="eastAsia" w:ascii="仿宋" w:hAnsi="仿宋" w:eastAsia="仿宋" w:cs="仿宋"/>
          <w:b/>
          <w:sz w:val="28"/>
          <w:szCs w:val="28"/>
        </w:rPr>
        <w:t>型</w:t>
      </w:r>
      <w:r>
        <w:rPr>
          <w:rFonts w:ascii="仿宋" w:hAnsi="仿宋" w:eastAsia="仿宋" w:cs="仿宋"/>
          <w:b/>
          <w:sz w:val="28"/>
          <w:szCs w:val="28"/>
        </w:rPr>
        <w:t>”</w:t>
      </w:r>
      <w:r>
        <w:rPr>
          <w:rFonts w:hint="eastAsia" w:ascii="仿宋" w:hAnsi="仿宋" w:eastAsia="仿宋" w:cs="仿宋"/>
          <w:b/>
          <w:sz w:val="28"/>
          <w:szCs w:val="28"/>
        </w:rPr>
        <w:t>教</w:t>
      </w:r>
      <w:r>
        <w:rPr>
          <w:rFonts w:ascii="仿宋" w:hAnsi="仿宋" w:eastAsia="仿宋" w:cs="仿宋"/>
          <w:b/>
          <w:sz w:val="28"/>
          <w:szCs w:val="28"/>
        </w:rPr>
        <w:t>师队伍</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学院在</w:t>
      </w:r>
      <w:r>
        <w:rPr>
          <w:rFonts w:ascii="仿宋" w:hAnsi="仿宋" w:eastAsia="仿宋" w:cs="仿宋"/>
          <w:sz w:val="28"/>
          <w:szCs w:val="28"/>
        </w:rPr>
        <w:t>财务上给予资金支持，</w:t>
      </w:r>
      <w:r>
        <w:rPr>
          <w:rFonts w:hint="eastAsia" w:ascii="仿宋" w:hAnsi="仿宋" w:eastAsia="仿宋" w:cs="仿宋"/>
          <w:sz w:val="28"/>
          <w:szCs w:val="28"/>
        </w:rPr>
        <w:t>从</w:t>
      </w:r>
      <w:r>
        <w:rPr>
          <w:rFonts w:ascii="仿宋" w:hAnsi="仿宋" w:eastAsia="仿宋" w:cs="仿宋"/>
          <w:sz w:val="28"/>
          <w:szCs w:val="28"/>
        </w:rPr>
        <w:t>企业引进高素质技能型人才，不断提升其教学技能和教学质量水平，使之快速成</w:t>
      </w:r>
      <w:r>
        <w:rPr>
          <w:rFonts w:hint="eastAsia" w:ascii="仿宋" w:hAnsi="仿宋" w:eastAsia="仿宋" w:cs="仿宋"/>
          <w:sz w:val="28"/>
          <w:szCs w:val="28"/>
        </w:rPr>
        <w:t>长</w:t>
      </w:r>
      <w:r>
        <w:rPr>
          <w:rFonts w:ascii="仿宋" w:hAnsi="仿宋" w:eastAsia="仿宋" w:cs="仿宋"/>
          <w:sz w:val="28"/>
          <w:szCs w:val="28"/>
        </w:rPr>
        <w:t>为“双师型”教师。</w:t>
      </w:r>
      <w:r>
        <w:rPr>
          <w:rFonts w:hint="eastAsia" w:ascii="仿宋" w:hAnsi="仿宋" w:eastAsia="仿宋" w:cs="仿宋"/>
          <w:sz w:val="28"/>
          <w:szCs w:val="28"/>
        </w:rPr>
        <w:t>学院强化</w:t>
      </w:r>
      <w:r>
        <w:rPr>
          <w:rFonts w:ascii="仿宋" w:hAnsi="仿宋" w:eastAsia="仿宋" w:cs="仿宋"/>
          <w:sz w:val="28"/>
          <w:szCs w:val="28"/>
        </w:rPr>
        <w:t>校本培育，搭建平台，强化配套</w:t>
      </w:r>
      <w:r>
        <w:rPr>
          <w:rFonts w:hint="eastAsia" w:ascii="仿宋" w:hAnsi="仿宋" w:eastAsia="仿宋" w:cs="仿宋"/>
          <w:sz w:val="28"/>
          <w:szCs w:val="28"/>
        </w:rPr>
        <w:t>保障</w:t>
      </w:r>
      <w:r>
        <w:rPr>
          <w:rFonts w:ascii="仿宋" w:hAnsi="仿宋" w:eastAsia="仿宋" w:cs="仿宋"/>
          <w:sz w:val="28"/>
          <w:szCs w:val="28"/>
        </w:rPr>
        <w:t>制度</w:t>
      </w:r>
      <w:r>
        <w:rPr>
          <w:rFonts w:hint="eastAsia" w:ascii="仿宋" w:hAnsi="仿宋" w:eastAsia="仿宋" w:cs="仿宋"/>
          <w:sz w:val="28"/>
          <w:szCs w:val="28"/>
        </w:rPr>
        <w:t>，培养</w:t>
      </w:r>
      <w:r>
        <w:rPr>
          <w:rFonts w:ascii="仿宋" w:hAnsi="仿宋" w:eastAsia="仿宋" w:cs="仿宋"/>
          <w:sz w:val="28"/>
          <w:szCs w:val="28"/>
        </w:rPr>
        <w:t>一批</w:t>
      </w:r>
      <w:r>
        <w:rPr>
          <w:rFonts w:hint="eastAsia" w:ascii="仿宋" w:hAnsi="仿宋" w:eastAsia="仿宋" w:cs="仿宋"/>
          <w:sz w:val="28"/>
          <w:szCs w:val="28"/>
        </w:rPr>
        <w:t>具</w:t>
      </w:r>
      <w:r>
        <w:rPr>
          <w:rFonts w:ascii="仿宋" w:hAnsi="仿宋" w:eastAsia="仿宋" w:cs="仿宋"/>
          <w:sz w:val="28"/>
          <w:szCs w:val="28"/>
        </w:rPr>
        <w:t>有丰富理论知识和扎实实践经验的国家、省市级技能大师</w:t>
      </w:r>
      <w:r>
        <w:rPr>
          <w:rFonts w:hint="eastAsia" w:ascii="仿宋" w:hAnsi="仿宋" w:eastAsia="仿宋" w:cs="仿宋"/>
          <w:sz w:val="28"/>
          <w:szCs w:val="28"/>
        </w:rPr>
        <w:t>和</w:t>
      </w:r>
      <w:r>
        <w:rPr>
          <w:rFonts w:ascii="仿宋" w:hAnsi="仿宋" w:eastAsia="仿宋" w:cs="仿宋"/>
          <w:sz w:val="28"/>
          <w:szCs w:val="28"/>
        </w:rPr>
        <w:t>教学团队，使之成为高质量的“双师型”教师，促进学校教育教学水平</w:t>
      </w:r>
      <w:r>
        <w:rPr>
          <w:rFonts w:hint="eastAsia" w:ascii="仿宋" w:hAnsi="仿宋" w:eastAsia="仿宋" w:cs="仿宋"/>
          <w:sz w:val="28"/>
          <w:szCs w:val="28"/>
        </w:rPr>
        <w:t>，</w:t>
      </w:r>
      <w:r>
        <w:rPr>
          <w:rFonts w:ascii="仿宋" w:hAnsi="仿宋" w:eastAsia="仿宋" w:cs="仿宋"/>
          <w:sz w:val="28"/>
          <w:szCs w:val="28"/>
        </w:rPr>
        <w:t>引领学校高质量发展。</w:t>
      </w:r>
    </w:p>
    <w:p>
      <w:pPr>
        <w:spacing w:line="540" w:lineRule="exact"/>
        <w:ind w:firstLine="562" w:firstLineChars="200"/>
        <w:rPr>
          <w:rFonts w:ascii="仿宋" w:hAnsi="仿宋" w:eastAsia="仿宋" w:cs="仿宋"/>
          <w:b/>
          <w:bCs/>
          <w:color w:val="FF0000"/>
          <w:sz w:val="28"/>
          <w:szCs w:val="28"/>
        </w:rPr>
      </w:pPr>
      <w:r>
        <w:rPr>
          <w:rFonts w:hint="eastAsia" w:ascii="仿宋" w:hAnsi="仿宋" w:eastAsia="仿宋" w:cs="仿宋"/>
          <w:b/>
          <w:bCs/>
          <w:sz w:val="28"/>
          <w:szCs w:val="28"/>
        </w:rPr>
        <w:t>（5）建设计划</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0"/>
        <w:gridCol w:w="2810"/>
        <w:gridCol w:w="2831"/>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0" w:type="dxa"/>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lang w:eastAsia="en-US"/>
              </w:rPr>
            </w:pPr>
            <w:r>
              <w:rPr>
                <w:rFonts w:hint="eastAsia" w:ascii="仿宋" w:hAnsi="仿宋" w:eastAsia="仿宋" w:cs="仿宋"/>
                <w:b/>
                <w:bCs/>
                <w:color w:val="000000"/>
                <w:kern w:val="0"/>
                <w:szCs w:val="21"/>
                <w:lang w:eastAsia="en-US"/>
              </w:rPr>
              <w:t>年度</w:t>
            </w:r>
          </w:p>
        </w:tc>
        <w:tc>
          <w:tcPr>
            <w:tcW w:w="2810" w:type="dxa"/>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lang w:eastAsia="en-US"/>
              </w:rPr>
            </w:pPr>
            <w:r>
              <w:rPr>
                <w:rFonts w:hint="eastAsia" w:ascii="仿宋" w:hAnsi="仿宋" w:eastAsia="仿宋" w:cs="仿宋"/>
                <w:b/>
                <w:bCs/>
                <w:color w:val="000000"/>
                <w:kern w:val="0"/>
                <w:szCs w:val="21"/>
                <w:lang w:eastAsia="en-US"/>
              </w:rPr>
              <w:t>建设任务</w:t>
            </w:r>
          </w:p>
        </w:tc>
        <w:tc>
          <w:tcPr>
            <w:tcW w:w="2831" w:type="dxa"/>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lang w:eastAsia="en-US"/>
              </w:rPr>
            </w:pPr>
            <w:r>
              <w:rPr>
                <w:rFonts w:hint="eastAsia" w:ascii="仿宋" w:hAnsi="仿宋" w:eastAsia="仿宋" w:cs="仿宋"/>
                <w:b/>
                <w:bCs/>
                <w:color w:val="000000"/>
                <w:kern w:val="0"/>
                <w:szCs w:val="21"/>
                <w:lang w:eastAsia="en-US"/>
              </w:rPr>
              <w:t>建设内容</w:t>
            </w:r>
          </w:p>
        </w:tc>
        <w:tc>
          <w:tcPr>
            <w:tcW w:w="1559" w:type="dxa"/>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lang w:eastAsia="en-US"/>
              </w:rPr>
            </w:pPr>
            <w:r>
              <w:rPr>
                <w:rFonts w:hint="eastAsia" w:ascii="仿宋" w:hAnsi="仿宋" w:eastAsia="仿宋" w:cs="仿宋"/>
                <w:b/>
                <w:bCs/>
                <w:color w:val="000000"/>
                <w:kern w:val="0"/>
                <w:szCs w:val="21"/>
                <w:lang w:eastAsia="en-US"/>
              </w:rPr>
              <w:t>负责部门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0" w:type="dxa"/>
            <w:vMerge w:val="restart"/>
            <w:vAlign w:val="center"/>
          </w:tcPr>
          <w:p>
            <w:pPr>
              <w:jc w:val="center"/>
              <w:rPr>
                <w:rFonts w:ascii="仿宋" w:hAnsi="仿宋" w:eastAsia="仿宋" w:cs="仿宋"/>
                <w:b/>
                <w:szCs w:val="21"/>
              </w:rPr>
            </w:pPr>
            <w:r>
              <w:rPr>
                <w:rFonts w:hint="eastAsia" w:ascii="仿宋" w:hAnsi="仿宋" w:eastAsia="仿宋" w:cs="仿宋"/>
                <w:b/>
                <w:szCs w:val="21"/>
              </w:rPr>
              <w:t>2023</w:t>
            </w:r>
          </w:p>
        </w:tc>
        <w:tc>
          <w:tcPr>
            <w:tcW w:w="2810" w:type="dxa"/>
            <w:vAlign w:val="center"/>
          </w:tcPr>
          <w:p>
            <w:pPr>
              <w:jc w:val="left"/>
              <w:rPr>
                <w:rFonts w:ascii="仿宋" w:hAnsi="仿宋" w:eastAsia="仿宋" w:cs="仿宋"/>
                <w:bCs/>
                <w:szCs w:val="21"/>
              </w:rPr>
            </w:pPr>
            <w:r>
              <w:rPr>
                <w:rFonts w:hint="eastAsia" w:ascii="仿宋" w:hAnsi="仿宋" w:eastAsia="仿宋" w:cs="仿宋"/>
                <w:bCs/>
                <w:szCs w:val="21"/>
              </w:rPr>
              <w:t>通过“双师型”企业实践基地和校本共育，强化“双师型”教师队伍建设</w:t>
            </w:r>
          </w:p>
        </w:tc>
        <w:tc>
          <w:tcPr>
            <w:tcW w:w="2831" w:type="dxa"/>
            <w:vAlign w:val="center"/>
          </w:tcPr>
          <w:p>
            <w:pPr>
              <w:jc w:val="left"/>
              <w:rPr>
                <w:rFonts w:ascii="仿宋" w:hAnsi="仿宋" w:eastAsia="仿宋" w:cs="仿宋"/>
                <w:bCs/>
                <w:szCs w:val="21"/>
              </w:rPr>
            </w:pPr>
            <w:r>
              <w:rPr>
                <w:rFonts w:hint="eastAsia" w:ascii="仿宋" w:hAnsi="仿宋" w:eastAsia="仿宋" w:cs="仿宋"/>
                <w:bCs/>
                <w:szCs w:val="21"/>
              </w:rPr>
              <w:t>培育和认定校本“双师型”教师</w:t>
            </w:r>
          </w:p>
        </w:tc>
        <w:tc>
          <w:tcPr>
            <w:tcW w:w="1559" w:type="dxa"/>
            <w:vAlign w:val="center"/>
          </w:tcPr>
          <w:p>
            <w:pPr>
              <w:jc w:val="center"/>
              <w:rPr>
                <w:rFonts w:ascii="仿宋" w:hAnsi="仿宋" w:eastAsia="仿宋" w:cs="仿宋"/>
                <w:bCs/>
                <w:szCs w:val="21"/>
              </w:rPr>
            </w:pPr>
            <w:r>
              <w:rPr>
                <w:rFonts w:hint="eastAsia" w:ascii="仿宋" w:hAnsi="仿宋" w:eastAsia="仿宋" w:cs="仿宋"/>
                <w:bCs/>
                <w:szCs w:val="21"/>
              </w:rPr>
              <w:t>人</w:t>
            </w:r>
            <w:r>
              <w:rPr>
                <w:rFonts w:ascii="仿宋" w:hAnsi="仿宋" w:eastAsia="仿宋" w:cs="仿宋"/>
                <w:bCs/>
                <w:szCs w:val="21"/>
              </w:rPr>
              <w:t>事处、教务处、二级学院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0" w:type="dxa"/>
            <w:vMerge w:val="continue"/>
            <w:vAlign w:val="center"/>
          </w:tcPr>
          <w:p>
            <w:pPr>
              <w:jc w:val="center"/>
              <w:rPr>
                <w:rFonts w:ascii="仿宋" w:hAnsi="仿宋" w:eastAsia="仿宋" w:cs="仿宋"/>
                <w:b/>
                <w:szCs w:val="21"/>
              </w:rPr>
            </w:pPr>
          </w:p>
        </w:tc>
        <w:tc>
          <w:tcPr>
            <w:tcW w:w="2810" w:type="dxa"/>
            <w:vAlign w:val="center"/>
          </w:tcPr>
          <w:p>
            <w:pPr>
              <w:jc w:val="left"/>
              <w:rPr>
                <w:rFonts w:ascii="仿宋" w:hAnsi="仿宋" w:eastAsia="仿宋" w:cs="仿宋"/>
                <w:bCs/>
                <w:szCs w:val="21"/>
              </w:rPr>
            </w:pPr>
            <w:r>
              <w:rPr>
                <w:rFonts w:hint="eastAsia" w:ascii="仿宋" w:hAnsi="仿宋" w:eastAsia="仿宋" w:cs="仿宋"/>
                <w:bCs/>
                <w:szCs w:val="21"/>
              </w:rPr>
              <w:t>强化教师下企业实践，提升技能实践水平</w:t>
            </w:r>
          </w:p>
        </w:tc>
        <w:tc>
          <w:tcPr>
            <w:tcW w:w="2831" w:type="dxa"/>
            <w:vAlign w:val="center"/>
          </w:tcPr>
          <w:p>
            <w:pPr>
              <w:jc w:val="left"/>
              <w:rPr>
                <w:rFonts w:ascii="仿宋" w:hAnsi="仿宋" w:eastAsia="仿宋" w:cs="仿宋"/>
                <w:bCs/>
                <w:szCs w:val="21"/>
              </w:rPr>
            </w:pPr>
            <w:r>
              <w:rPr>
                <w:rFonts w:hint="eastAsia" w:ascii="仿宋" w:hAnsi="仿宋" w:eastAsia="仿宋" w:cs="仿宋"/>
                <w:bCs/>
                <w:szCs w:val="21"/>
              </w:rPr>
              <w:t>引进具有企业实践经验的技能型“双师型”教师</w:t>
            </w:r>
          </w:p>
        </w:tc>
        <w:tc>
          <w:tcPr>
            <w:tcW w:w="1559" w:type="dxa"/>
            <w:vAlign w:val="center"/>
          </w:tcPr>
          <w:p>
            <w:pPr>
              <w:jc w:val="center"/>
              <w:rPr>
                <w:rFonts w:ascii="仿宋" w:hAnsi="仿宋" w:eastAsia="仿宋" w:cs="仿宋"/>
                <w:bCs/>
                <w:szCs w:val="21"/>
              </w:rPr>
            </w:pPr>
            <w:r>
              <w:rPr>
                <w:rFonts w:hint="eastAsia" w:ascii="仿宋" w:hAnsi="仿宋" w:eastAsia="仿宋" w:cs="仿宋"/>
                <w:bCs/>
                <w:szCs w:val="21"/>
              </w:rPr>
              <w:t>人</w:t>
            </w:r>
            <w:r>
              <w:rPr>
                <w:rFonts w:ascii="仿宋" w:hAnsi="仿宋" w:eastAsia="仿宋" w:cs="仿宋"/>
                <w:bCs/>
                <w:szCs w:val="21"/>
              </w:rPr>
              <w:t>事处、教务处、二级学院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0" w:type="dxa"/>
            <w:vMerge w:val="continue"/>
            <w:vAlign w:val="center"/>
          </w:tcPr>
          <w:p>
            <w:pPr>
              <w:jc w:val="center"/>
              <w:rPr>
                <w:rFonts w:ascii="仿宋" w:hAnsi="仿宋" w:eastAsia="仿宋" w:cs="仿宋"/>
                <w:b/>
                <w:szCs w:val="21"/>
              </w:rPr>
            </w:pPr>
          </w:p>
        </w:tc>
        <w:tc>
          <w:tcPr>
            <w:tcW w:w="2810" w:type="dxa"/>
            <w:vAlign w:val="center"/>
          </w:tcPr>
          <w:p>
            <w:pPr>
              <w:jc w:val="left"/>
              <w:rPr>
                <w:rFonts w:ascii="仿宋" w:hAnsi="仿宋" w:eastAsia="仿宋" w:cs="仿宋"/>
                <w:bCs/>
                <w:szCs w:val="21"/>
              </w:rPr>
            </w:pPr>
            <w:r>
              <w:rPr>
                <w:rFonts w:hint="eastAsia" w:ascii="仿宋" w:hAnsi="仿宋" w:eastAsia="仿宋" w:cs="仿宋"/>
                <w:bCs/>
                <w:szCs w:val="21"/>
              </w:rPr>
              <w:t>通过引进和校本培育方式，打造高质量“双师型”教师队伍</w:t>
            </w:r>
          </w:p>
        </w:tc>
        <w:tc>
          <w:tcPr>
            <w:tcW w:w="2831" w:type="dxa"/>
            <w:vAlign w:val="center"/>
          </w:tcPr>
          <w:p>
            <w:pPr>
              <w:jc w:val="left"/>
              <w:rPr>
                <w:rFonts w:ascii="仿宋" w:hAnsi="仿宋" w:eastAsia="仿宋" w:cs="仿宋"/>
                <w:bCs/>
                <w:szCs w:val="21"/>
              </w:rPr>
            </w:pPr>
            <w:r>
              <w:rPr>
                <w:rFonts w:hint="eastAsia" w:ascii="仿宋" w:hAnsi="仿宋" w:eastAsia="仿宋" w:cs="仿宋"/>
                <w:bCs/>
                <w:szCs w:val="21"/>
              </w:rPr>
              <w:t>合力打造国家、省级教学团队和技能大师工作室，实现“双师型”教师高质量“蜕变”，引领专业建设发展。</w:t>
            </w:r>
          </w:p>
        </w:tc>
        <w:tc>
          <w:tcPr>
            <w:tcW w:w="1559" w:type="dxa"/>
            <w:vAlign w:val="center"/>
          </w:tcPr>
          <w:p>
            <w:pPr>
              <w:jc w:val="center"/>
              <w:rPr>
                <w:rFonts w:ascii="仿宋" w:hAnsi="仿宋" w:eastAsia="仿宋" w:cs="仿宋"/>
                <w:bCs/>
                <w:szCs w:val="21"/>
              </w:rPr>
            </w:pPr>
            <w:r>
              <w:rPr>
                <w:rFonts w:hint="eastAsia" w:ascii="仿宋" w:hAnsi="仿宋" w:eastAsia="仿宋" w:cs="仿宋"/>
                <w:bCs/>
                <w:szCs w:val="21"/>
              </w:rPr>
              <w:t>人</w:t>
            </w:r>
            <w:r>
              <w:rPr>
                <w:rFonts w:ascii="仿宋" w:hAnsi="仿宋" w:eastAsia="仿宋" w:cs="仿宋"/>
                <w:bCs/>
                <w:szCs w:val="21"/>
              </w:rPr>
              <w:t>事处、教务处、二级学院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0" w:type="dxa"/>
            <w:vMerge w:val="restart"/>
            <w:vAlign w:val="center"/>
          </w:tcPr>
          <w:p>
            <w:pPr>
              <w:jc w:val="center"/>
              <w:rPr>
                <w:rFonts w:ascii="仿宋" w:hAnsi="仿宋" w:eastAsia="仿宋" w:cs="仿宋"/>
                <w:b/>
                <w:szCs w:val="21"/>
              </w:rPr>
            </w:pPr>
            <w:r>
              <w:rPr>
                <w:rFonts w:hint="eastAsia" w:ascii="仿宋" w:hAnsi="仿宋" w:eastAsia="仿宋" w:cs="仿宋"/>
                <w:b/>
                <w:szCs w:val="21"/>
              </w:rPr>
              <w:t>2024</w:t>
            </w:r>
          </w:p>
        </w:tc>
        <w:tc>
          <w:tcPr>
            <w:tcW w:w="2810" w:type="dxa"/>
            <w:vAlign w:val="center"/>
          </w:tcPr>
          <w:p>
            <w:pPr>
              <w:jc w:val="left"/>
              <w:rPr>
                <w:rFonts w:ascii="仿宋" w:hAnsi="仿宋" w:eastAsia="仿宋" w:cs="仿宋"/>
                <w:bCs/>
                <w:szCs w:val="21"/>
              </w:rPr>
            </w:pPr>
            <w:r>
              <w:rPr>
                <w:rFonts w:hint="eastAsia" w:ascii="仿宋" w:hAnsi="仿宋" w:eastAsia="仿宋" w:cs="仿宋"/>
                <w:bCs/>
                <w:szCs w:val="21"/>
              </w:rPr>
              <w:t>通过“双师型”企业实践基地和校本共育，强化“双师型”教师队伍建设</w:t>
            </w:r>
          </w:p>
        </w:tc>
        <w:tc>
          <w:tcPr>
            <w:tcW w:w="2831" w:type="dxa"/>
            <w:vAlign w:val="center"/>
          </w:tcPr>
          <w:p>
            <w:pPr>
              <w:jc w:val="left"/>
              <w:rPr>
                <w:rFonts w:ascii="仿宋" w:hAnsi="仿宋" w:eastAsia="仿宋" w:cs="仿宋"/>
                <w:bCs/>
                <w:szCs w:val="21"/>
              </w:rPr>
            </w:pPr>
            <w:r>
              <w:rPr>
                <w:rFonts w:hint="eastAsia" w:ascii="仿宋" w:hAnsi="仿宋" w:eastAsia="仿宋" w:cs="仿宋"/>
                <w:bCs/>
                <w:szCs w:val="21"/>
              </w:rPr>
              <w:t>培育和认定校本“双师型”教师</w:t>
            </w:r>
          </w:p>
        </w:tc>
        <w:tc>
          <w:tcPr>
            <w:tcW w:w="1559" w:type="dxa"/>
            <w:vAlign w:val="center"/>
          </w:tcPr>
          <w:p>
            <w:pPr>
              <w:jc w:val="center"/>
              <w:rPr>
                <w:rFonts w:ascii="仿宋" w:hAnsi="仿宋" w:eastAsia="仿宋" w:cs="仿宋"/>
                <w:bCs/>
                <w:szCs w:val="21"/>
              </w:rPr>
            </w:pPr>
            <w:r>
              <w:rPr>
                <w:rFonts w:hint="eastAsia" w:ascii="仿宋" w:hAnsi="仿宋" w:eastAsia="仿宋" w:cs="仿宋"/>
                <w:bCs/>
                <w:szCs w:val="21"/>
              </w:rPr>
              <w:t>人</w:t>
            </w:r>
            <w:r>
              <w:rPr>
                <w:rFonts w:ascii="仿宋" w:hAnsi="仿宋" w:eastAsia="仿宋" w:cs="仿宋"/>
                <w:bCs/>
                <w:szCs w:val="21"/>
              </w:rPr>
              <w:t>事处、教务处、二级学院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0" w:type="dxa"/>
            <w:vMerge w:val="continue"/>
            <w:vAlign w:val="center"/>
          </w:tcPr>
          <w:p>
            <w:pPr>
              <w:jc w:val="center"/>
              <w:rPr>
                <w:rFonts w:ascii="仿宋" w:hAnsi="仿宋" w:eastAsia="仿宋" w:cs="仿宋"/>
                <w:b/>
                <w:szCs w:val="21"/>
              </w:rPr>
            </w:pPr>
          </w:p>
        </w:tc>
        <w:tc>
          <w:tcPr>
            <w:tcW w:w="2810" w:type="dxa"/>
            <w:vAlign w:val="center"/>
          </w:tcPr>
          <w:p>
            <w:pPr>
              <w:jc w:val="left"/>
              <w:rPr>
                <w:rFonts w:ascii="仿宋" w:hAnsi="仿宋" w:eastAsia="仿宋" w:cs="仿宋"/>
                <w:bCs/>
                <w:szCs w:val="21"/>
              </w:rPr>
            </w:pPr>
            <w:r>
              <w:rPr>
                <w:rFonts w:hint="eastAsia" w:ascii="仿宋" w:hAnsi="仿宋" w:eastAsia="仿宋" w:cs="仿宋"/>
                <w:bCs/>
                <w:szCs w:val="21"/>
              </w:rPr>
              <w:t>强化教师下企业实践，提升技能实践水平</w:t>
            </w:r>
          </w:p>
        </w:tc>
        <w:tc>
          <w:tcPr>
            <w:tcW w:w="2831" w:type="dxa"/>
            <w:vAlign w:val="center"/>
          </w:tcPr>
          <w:p>
            <w:pPr>
              <w:jc w:val="left"/>
              <w:rPr>
                <w:rFonts w:ascii="仿宋" w:hAnsi="仿宋" w:eastAsia="仿宋" w:cs="仿宋"/>
                <w:bCs/>
                <w:szCs w:val="21"/>
              </w:rPr>
            </w:pPr>
            <w:r>
              <w:rPr>
                <w:rFonts w:hint="eastAsia" w:ascii="仿宋" w:hAnsi="仿宋" w:eastAsia="仿宋" w:cs="仿宋"/>
                <w:bCs/>
                <w:szCs w:val="21"/>
              </w:rPr>
              <w:t>引进具有企业实践经验的技能型“双师型”教师</w:t>
            </w:r>
          </w:p>
        </w:tc>
        <w:tc>
          <w:tcPr>
            <w:tcW w:w="1559" w:type="dxa"/>
            <w:vAlign w:val="center"/>
          </w:tcPr>
          <w:p>
            <w:pPr>
              <w:jc w:val="center"/>
              <w:rPr>
                <w:rFonts w:ascii="仿宋" w:hAnsi="仿宋" w:eastAsia="仿宋" w:cs="仿宋"/>
                <w:bCs/>
                <w:szCs w:val="21"/>
              </w:rPr>
            </w:pPr>
            <w:r>
              <w:rPr>
                <w:rFonts w:hint="eastAsia" w:ascii="仿宋" w:hAnsi="仿宋" w:eastAsia="仿宋" w:cs="仿宋"/>
                <w:bCs/>
                <w:szCs w:val="21"/>
              </w:rPr>
              <w:t>人</w:t>
            </w:r>
            <w:r>
              <w:rPr>
                <w:rFonts w:ascii="仿宋" w:hAnsi="仿宋" w:eastAsia="仿宋" w:cs="仿宋"/>
                <w:bCs/>
                <w:szCs w:val="21"/>
              </w:rPr>
              <w:t>事处、教务处、二级学院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0" w:type="dxa"/>
            <w:vMerge w:val="continue"/>
            <w:vAlign w:val="center"/>
          </w:tcPr>
          <w:p>
            <w:pPr>
              <w:jc w:val="center"/>
              <w:rPr>
                <w:rFonts w:ascii="仿宋" w:hAnsi="仿宋" w:eastAsia="仿宋" w:cs="仿宋"/>
                <w:b/>
                <w:szCs w:val="21"/>
              </w:rPr>
            </w:pPr>
          </w:p>
        </w:tc>
        <w:tc>
          <w:tcPr>
            <w:tcW w:w="2810" w:type="dxa"/>
            <w:vAlign w:val="center"/>
          </w:tcPr>
          <w:p>
            <w:pPr>
              <w:jc w:val="left"/>
              <w:rPr>
                <w:rFonts w:ascii="仿宋" w:hAnsi="仿宋" w:eastAsia="仿宋" w:cs="仿宋"/>
                <w:bCs/>
                <w:szCs w:val="21"/>
              </w:rPr>
            </w:pPr>
            <w:r>
              <w:rPr>
                <w:rFonts w:hint="eastAsia" w:ascii="仿宋" w:hAnsi="仿宋" w:eastAsia="仿宋" w:cs="仿宋"/>
                <w:bCs/>
                <w:szCs w:val="21"/>
              </w:rPr>
              <w:t>通过引进和校本培育方式，打造高质量“双师型”教师队伍</w:t>
            </w:r>
          </w:p>
        </w:tc>
        <w:tc>
          <w:tcPr>
            <w:tcW w:w="2831" w:type="dxa"/>
            <w:vAlign w:val="center"/>
          </w:tcPr>
          <w:p>
            <w:pPr>
              <w:jc w:val="left"/>
              <w:rPr>
                <w:rFonts w:ascii="仿宋" w:hAnsi="仿宋" w:eastAsia="仿宋" w:cs="仿宋"/>
                <w:bCs/>
                <w:szCs w:val="21"/>
              </w:rPr>
            </w:pPr>
            <w:r>
              <w:rPr>
                <w:rFonts w:hint="eastAsia" w:ascii="仿宋" w:hAnsi="仿宋" w:eastAsia="仿宋" w:cs="仿宋"/>
                <w:bCs/>
                <w:szCs w:val="21"/>
              </w:rPr>
              <w:t>合力打造国家、省级教学团队和技能大师工作室，实现“双师型”教师高质量“蜕变”，引领专业建设发展。</w:t>
            </w:r>
          </w:p>
        </w:tc>
        <w:tc>
          <w:tcPr>
            <w:tcW w:w="1559" w:type="dxa"/>
            <w:vAlign w:val="center"/>
          </w:tcPr>
          <w:p>
            <w:pPr>
              <w:jc w:val="center"/>
              <w:rPr>
                <w:rFonts w:ascii="仿宋" w:hAnsi="仿宋" w:eastAsia="仿宋" w:cs="仿宋"/>
                <w:bCs/>
                <w:szCs w:val="21"/>
              </w:rPr>
            </w:pPr>
            <w:r>
              <w:rPr>
                <w:rFonts w:hint="eastAsia" w:ascii="仿宋" w:hAnsi="仿宋" w:eastAsia="仿宋" w:cs="仿宋"/>
                <w:bCs/>
                <w:szCs w:val="21"/>
              </w:rPr>
              <w:t>人</w:t>
            </w:r>
            <w:r>
              <w:rPr>
                <w:rFonts w:ascii="仿宋" w:hAnsi="仿宋" w:eastAsia="仿宋" w:cs="仿宋"/>
                <w:bCs/>
                <w:szCs w:val="21"/>
              </w:rPr>
              <w:t>事处、教务处、二级学院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0" w:type="dxa"/>
            <w:vMerge w:val="restart"/>
            <w:vAlign w:val="center"/>
          </w:tcPr>
          <w:p>
            <w:pPr>
              <w:jc w:val="center"/>
              <w:rPr>
                <w:rFonts w:ascii="仿宋" w:hAnsi="仿宋" w:eastAsia="仿宋" w:cs="仿宋"/>
                <w:b/>
                <w:szCs w:val="21"/>
              </w:rPr>
            </w:pPr>
            <w:r>
              <w:rPr>
                <w:rFonts w:hint="eastAsia" w:ascii="仿宋" w:hAnsi="仿宋" w:eastAsia="仿宋" w:cs="仿宋"/>
                <w:b/>
                <w:szCs w:val="21"/>
              </w:rPr>
              <w:t>2025</w:t>
            </w:r>
          </w:p>
        </w:tc>
        <w:tc>
          <w:tcPr>
            <w:tcW w:w="2810" w:type="dxa"/>
            <w:vAlign w:val="center"/>
          </w:tcPr>
          <w:p>
            <w:pPr>
              <w:jc w:val="left"/>
              <w:rPr>
                <w:rFonts w:ascii="仿宋" w:hAnsi="仿宋" w:eastAsia="仿宋" w:cs="仿宋"/>
                <w:bCs/>
                <w:szCs w:val="21"/>
              </w:rPr>
            </w:pPr>
            <w:r>
              <w:rPr>
                <w:rFonts w:hint="eastAsia" w:ascii="仿宋" w:hAnsi="仿宋" w:eastAsia="仿宋" w:cs="仿宋"/>
                <w:bCs/>
                <w:szCs w:val="21"/>
              </w:rPr>
              <w:t>通过“双师型”企业实践基地和校本共育，强化“双师型”教师队伍建设</w:t>
            </w:r>
          </w:p>
        </w:tc>
        <w:tc>
          <w:tcPr>
            <w:tcW w:w="2831" w:type="dxa"/>
            <w:vAlign w:val="center"/>
          </w:tcPr>
          <w:p>
            <w:pPr>
              <w:jc w:val="left"/>
              <w:rPr>
                <w:rFonts w:ascii="仿宋" w:hAnsi="仿宋" w:eastAsia="仿宋" w:cs="仿宋"/>
                <w:bCs/>
                <w:szCs w:val="21"/>
              </w:rPr>
            </w:pPr>
            <w:r>
              <w:rPr>
                <w:rFonts w:hint="eastAsia" w:ascii="仿宋" w:hAnsi="仿宋" w:eastAsia="仿宋" w:cs="仿宋"/>
                <w:bCs/>
                <w:szCs w:val="21"/>
              </w:rPr>
              <w:t>培育和认定校本“双师型”教师</w:t>
            </w:r>
          </w:p>
        </w:tc>
        <w:tc>
          <w:tcPr>
            <w:tcW w:w="1559" w:type="dxa"/>
            <w:vAlign w:val="center"/>
          </w:tcPr>
          <w:p>
            <w:pPr>
              <w:jc w:val="center"/>
              <w:rPr>
                <w:rFonts w:ascii="仿宋" w:hAnsi="仿宋" w:eastAsia="仿宋" w:cs="仿宋"/>
                <w:bCs/>
                <w:szCs w:val="21"/>
              </w:rPr>
            </w:pPr>
            <w:r>
              <w:rPr>
                <w:rFonts w:hint="eastAsia" w:ascii="仿宋" w:hAnsi="仿宋" w:eastAsia="仿宋" w:cs="仿宋"/>
                <w:bCs/>
                <w:szCs w:val="21"/>
              </w:rPr>
              <w:t>人</w:t>
            </w:r>
            <w:r>
              <w:rPr>
                <w:rFonts w:ascii="仿宋" w:hAnsi="仿宋" w:eastAsia="仿宋" w:cs="仿宋"/>
                <w:bCs/>
                <w:szCs w:val="21"/>
              </w:rPr>
              <w:t>事处、教务处、二级学院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0" w:type="dxa"/>
            <w:vMerge w:val="continue"/>
            <w:vAlign w:val="center"/>
          </w:tcPr>
          <w:p>
            <w:pPr>
              <w:jc w:val="center"/>
              <w:rPr>
                <w:rFonts w:ascii="仿宋" w:hAnsi="仿宋" w:eastAsia="仿宋" w:cs="仿宋"/>
                <w:bCs/>
                <w:szCs w:val="21"/>
              </w:rPr>
            </w:pPr>
          </w:p>
        </w:tc>
        <w:tc>
          <w:tcPr>
            <w:tcW w:w="2810" w:type="dxa"/>
            <w:vAlign w:val="center"/>
          </w:tcPr>
          <w:p>
            <w:pPr>
              <w:jc w:val="left"/>
              <w:rPr>
                <w:rFonts w:ascii="仿宋" w:hAnsi="仿宋" w:eastAsia="仿宋" w:cs="仿宋"/>
                <w:bCs/>
                <w:szCs w:val="21"/>
              </w:rPr>
            </w:pPr>
            <w:r>
              <w:rPr>
                <w:rFonts w:hint="eastAsia" w:ascii="仿宋" w:hAnsi="仿宋" w:eastAsia="仿宋" w:cs="仿宋"/>
                <w:bCs/>
                <w:szCs w:val="21"/>
              </w:rPr>
              <w:t>强化教师下企业实践，提升技能实践水平</w:t>
            </w:r>
          </w:p>
        </w:tc>
        <w:tc>
          <w:tcPr>
            <w:tcW w:w="2831" w:type="dxa"/>
            <w:vAlign w:val="center"/>
          </w:tcPr>
          <w:p>
            <w:pPr>
              <w:jc w:val="left"/>
              <w:rPr>
                <w:rFonts w:ascii="仿宋" w:hAnsi="仿宋" w:eastAsia="仿宋" w:cs="仿宋"/>
                <w:bCs/>
                <w:szCs w:val="21"/>
              </w:rPr>
            </w:pPr>
            <w:r>
              <w:rPr>
                <w:rFonts w:hint="eastAsia" w:ascii="仿宋" w:hAnsi="仿宋" w:eastAsia="仿宋" w:cs="仿宋"/>
                <w:bCs/>
                <w:szCs w:val="21"/>
              </w:rPr>
              <w:t>引进具有企业实践经验的技能型“双师型”教师</w:t>
            </w:r>
          </w:p>
        </w:tc>
        <w:tc>
          <w:tcPr>
            <w:tcW w:w="1559" w:type="dxa"/>
            <w:vAlign w:val="center"/>
          </w:tcPr>
          <w:p>
            <w:pPr>
              <w:jc w:val="center"/>
              <w:rPr>
                <w:rFonts w:ascii="仿宋" w:hAnsi="仿宋" w:eastAsia="仿宋" w:cs="仿宋"/>
                <w:bCs/>
                <w:szCs w:val="21"/>
              </w:rPr>
            </w:pPr>
            <w:r>
              <w:rPr>
                <w:rFonts w:hint="eastAsia" w:ascii="仿宋" w:hAnsi="仿宋" w:eastAsia="仿宋" w:cs="仿宋"/>
                <w:bCs/>
                <w:szCs w:val="21"/>
              </w:rPr>
              <w:t>人</w:t>
            </w:r>
            <w:r>
              <w:rPr>
                <w:rFonts w:ascii="仿宋" w:hAnsi="仿宋" w:eastAsia="仿宋" w:cs="仿宋"/>
                <w:bCs/>
                <w:szCs w:val="21"/>
              </w:rPr>
              <w:t>事处、教务处、二级学院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0" w:type="dxa"/>
            <w:vMerge w:val="continue"/>
            <w:vAlign w:val="center"/>
          </w:tcPr>
          <w:p>
            <w:pPr>
              <w:jc w:val="center"/>
              <w:rPr>
                <w:rFonts w:ascii="仿宋" w:hAnsi="仿宋" w:eastAsia="仿宋" w:cs="仿宋"/>
                <w:bCs/>
                <w:szCs w:val="21"/>
              </w:rPr>
            </w:pPr>
          </w:p>
        </w:tc>
        <w:tc>
          <w:tcPr>
            <w:tcW w:w="2810" w:type="dxa"/>
            <w:vAlign w:val="center"/>
          </w:tcPr>
          <w:p>
            <w:pPr>
              <w:jc w:val="left"/>
              <w:rPr>
                <w:rFonts w:ascii="仿宋" w:hAnsi="仿宋" w:eastAsia="仿宋" w:cs="仿宋"/>
                <w:bCs/>
                <w:szCs w:val="21"/>
              </w:rPr>
            </w:pPr>
            <w:r>
              <w:rPr>
                <w:rFonts w:hint="eastAsia" w:ascii="仿宋" w:hAnsi="仿宋" w:eastAsia="仿宋" w:cs="仿宋"/>
                <w:bCs/>
                <w:szCs w:val="21"/>
              </w:rPr>
              <w:t>通过引进和校本培育方式，打造高质量“双师型”教师队伍</w:t>
            </w:r>
          </w:p>
        </w:tc>
        <w:tc>
          <w:tcPr>
            <w:tcW w:w="2831" w:type="dxa"/>
            <w:vAlign w:val="center"/>
          </w:tcPr>
          <w:p>
            <w:pPr>
              <w:jc w:val="left"/>
              <w:rPr>
                <w:rFonts w:ascii="仿宋" w:hAnsi="仿宋" w:eastAsia="仿宋" w:cs="仿宋"/>
                <w:bCs/>
                <w:szCs w:val="21"/>
              </w:rPr>
            </w:pPr>
            <w:r>
              <w:rPr>
                <w:rFonts w:hint="eastAsia" w:ascii="仿宋" w:hAnsi="仿宋" w:eastAsia="仿宋" w:cs="仿宋"/>
                <w:bCs/>
                <w:szCs w:val="21"/>
              </w:rPr>
              <w:t>合力打造国家、省级教学团队和技能大师工作室，实现“双师型”教师高质量“蜕变”，引领专业建设发展。</w:t>
            </w:r>
          </w:p>
        </w:tc>
        <w:tc>
          <w:tcPr>
            <w:tcW w:w="1559" w:type="dxa"/>
            <w:vAlign w:val="center"/>
          </w:tcPr>
          <w:p>
            <w:pPr>
              <w:jc w:val="center"/>
              <w:rPr>
                <w:rFonts w:ascii="仿宋" w:hAnsi="仿宋" w:eastAsia="仿宋" w:cs="仿宋"/>
                <w:bCs/>
                <w:szCs w:val="21"/>
              </w:rPr>
            </w:pPr>
            <w:r>
              <w:rPr>
                <w:rFonts w:hint="eastAsia" w:ascii="仿宋" w:hAnsi="仿宋" w:eastAsia="仿宋" w:cs="仿宋"/>
                <w:bCs/>
                <w:szCs w:val="21"/>
              </w:rPr>
              <w:t>人</w:t>
            </w:r>
            <w:r>
              <w:rPr>
                <w:rFonts w:ascii="仿宋" w:hAnsi="仿宋" w:eastAsia="仿宋" w:cs="仿宋"/>
                <w:bCs/>
                <w:szCs w:val="21"/>
              </w:rPr>
              <w:t>事处、教务处、二级学院</w:t>
            </w:r>
          </w:p>
        </w:tc>
      </w:tr>
    </w:tbl>
    <w:p>
      <w:pPr>
        <w:spacing w:line="540" w:lineRule="exact"/>
        <w:ind w:firstLine="562" w:firstLineChars="200"/>
        <w:rPr>
          <w:rFonts w:ascii="仿宋" w:hAnsi="仿宋" w:eastAsia="仿宋"/>
          <w:b/>
          <w:bCs/>
          <w:sz w:val="28"/>
          <w:szCs w:val="28"/>
        </w:rPr>
      </w:pPr>
      <w:r>
        <w:rPr>
          <w:rFonts w:hint="eastAsia" w:ascii="仿宋" w:hAnsi="仿宋" w:eastAsia="仿宋"/>
          <w:b/>
          <w:bCs/>
          <w:sz w:val="28"/>
          <w:szCs w:val="28"/>
        </w:rPr>
        <w:t>（6）预期成效及资金测算</w:t>
      </w:r>
    </w:p>
    <w:tbl>
      <w:tblPr>
        <w:tblStyle w:val="16"/>
        <w:tblW w:w="0" w:type="auto"/>
        <w:jc w:val="center"/>
        <w:tblLayout w:type="autofit"/>
        <w:tblCellMar>
          <w:top w:w="15" w:type="dxa"/>
          <w:left w:w="15" w:type="dxa"/>
          <w:bottom w:w="15" w:type="dxa"/>
          <w:right w:w="15" w:type="dxa"/>
        </w:tblCellMar>
      </w:tblPr>
      <w:tblGrid>
        <w:gridCol w:w="763"/>
        <w:gridCol w:w="2533"/>
        <w:gridCol w:w="3570"/>
        <w:gridCol w:w="490"/>
        <w:gridCol w:w="490"/>
        <w:gridCol w:w="490"/>
      </w:tblGrid>
      <w:tr>
        <w:tblPrEx>
          <w:tblCellMar>
            <w:top w:w="15" w:type="dxa"/>
            <w:left w:w="15" w:type="dxa"/>
            <w:bottom w:w="15" w:type="dxa"/>
            <w:right w:w="15" w:type="dxa"/>
          </w:tblCellMar>
        </w:tblPrEx>
        <w:trPr>
          <w:trHeight w:val="301" w:hRule="atLeast"/>
          <w:jc w:val="center"/>
        </w:trPr>
        <w:tc>
          <w:tcPr>
            <w:tcW w:w="763" w:type="dxa"/>
            <w:vMerge w:val="restart"/>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kern w:val="0"/>
                <w:szCs w:val="21"/>
                <w:lang w:bidi="ar"/>
              </w:rPr>
            </w:pPr>
            <w:r>
              <w:rPr>
                <w:rFonts w:hint="eastAsia" w:ascii="仿宋" w:hAnsi="仿宋" w:eastAsia="仿宋" w:cs="仿宋"/>
                <w:b/>
                <w:bCs/>
                <w:color w:val="000000"/>
                <w:kern w:val="0"/>
                <w:szCs w:val="21"/>
                <w:lang w:bidi="ar"/>
              </w:rPr>
              <w:t>项目</w:t>
            </w:r>
          </w:p>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名称</w:t>
            </w:r>
          </w:p>
        </w:tc>
        <w:tc>
          <w:tcPr>
            <w:tcW w:w="2532" w:type="dxa"/>
            <w:vMerge w:val="restart"/>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主要建设内容</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预期建设成效</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建设资金安排表（万元）</w:t>
            </w:r>
          </w:p>
        </w:tc>
      </w:tr>
      <w:tr>
        <w:tblPrEx>
          <w:tblCellMar>
            <w:top w:w="15" w:type="dxa"/>
            <w:left w:w="15" w:type="dxa"/>
            <w:bottom w:w="15" w:type="dxa"/>
            <w:right w:w="15" w:type="dxa"/>
          </w:tblCellMar>
        </w:tblPrEx>
        <w:trPr>
          <w:trHeight w:val="286" w:hRule="atLeast"/>
          <w:jc w:val="center"/>
        </w:trPr>
        <w:tc>
          <w:tcPr>
            <w:tcW w:w="763" w:type="dxa"/>
            <w:vMerge w:val="continue"/>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jc w:val="center"/>
              <w:rPr>
                <w:rFonts w:ascii="仿宋" w:hAnsi="仿宋" w:eastAsia="仿宋" w:cs="仿宋"/>
                <w:b/>
                <w:bCs/>
                <w:color w:val="000000"/>
                <w:szCs w:val="21"/>
              </w:rPr>
            </w:pPr>
          </w:p>
        </w:tc>
        <w:tc>
          <w:tcPr>
            <w:tcW w:w="2532" w:type="dxa"/>
            <w:vMerge w:val="continue"/>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jc w:val="center"/>
              <w:rPr>
                <w:rFonts w:ascii="仿宋" w:hAnsi="仿宋" w:eastAsia="仿宋" w:cs="仿宋"/>
                <w:b/>
                <w:bCs/>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jc w:val="center"/>
              <w:rPr>
                <w:rFonts w:ascii="仿宋" w:hAnsi="仿宋" w:eastAsia="仿宋" w:cs="仿宋"/>
                <w:b/>
                <w:bCs/>
                <w:color w:val="000000"/>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kern w:val="0"/>
                <w:szCs w:val="21"/>
                <w:lang w:bidi="ar"/>
              </w:rPr>
            </w:pPr>
            <w:r>
              <w:rPr>
                <w:rFonts w:hint="eastAsia" w:ascii="仿宋" w:hAnsi="仿宋" w:eastAsia="仿宋" w:cs="仿宋"/>
                <w:b/>
                <w:bCs/>
                <w:color w:val="000000"/>
                <w:kern w:val="0"/>
                <w:szCs w:val="21"/>
                <w:lang w:bidi="ar"/>
              </w:rPr>
              <w:t>2023年</w:t>
            </w:r>
          </w:p>
        </w:tc>
        <w:tc>
          <w:tcPr>
            <w:tcW w:w="0" w:type="auto"/>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2024年</w:t>
            </w:r>
          </w:p>
        </w:tc>
        <w:tc>
          <w:tcPr>
            <w:tcW w:w="0" w:type="auto"/>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2025年</w:t>
            </w:r>
          </w:p>
        </w:tc>
      </w:tr>
      <w:tr>
        <w:tblPrEx>
          <w:tblCellMar>
            <w:top w:w="15" w:type="dxa"/>
            <w:left w:w="15" w:type="dxa"/>
            <w:bottom w:w="15" w:type="dxa"/>
            <w:right w:w="15" w:type="dxa"/>
          </w:tblCellMar>
        </w:tblPrEx>
        <w:trPr>
          <w:trHeight w:val="450" w:hRule="atLeast"/>
          <w:jc w:val="center"/>
        </w:trPr>
        <w:tc>
          <w:tcPr>
            <w:tcW w:w="76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Cs w:val="21"/>
              </w:rPr>
            </w:pPr>
            <w:r>
              <w:rPr>
                <w:rFonts w:hint="eastAsia" w:ascii="仿宋" w:hAnsi="仿宋" w:eastAsia="仿宋" w:cs="仿宋"/>
                <w:b/>
                <w:bCs/>
                <w:color w:val="000000"/>
                <w:szCs w:val="21"/>
              </w:rPr>
              <w:t>“双师型”专业教师队伍建设项目</w:t>
            </w:r>
          </w:p>
        </w:tc>
        <w:tc>
          <w:tcPr>
            <w:tcW w:w="2532" w:type="dxa"/>
            <w:tcBorders>
              <w:top w:val="single" w:color="000000" w:sz="4" w:space="0"/>
              <w:left w:val="single" w:color="000000" w:sz="4" w:space="0"/>
              <w:bottom w:val="single" w:color="000000" w:sz="4" w:space="0"/>
              <w:right w:val="single" w:color="000000" w:sz="4" w:space="0"/>
            </w:tcBorders>
            <w:vAlign w:val="center"/>
          </w:tcPr>
          <w:p>
            <w:pPr>
              <w:jc w:val="left"/>
              <w:rPr>
                <w:rFonts w:ascii="仿宋" w:hAnsi="仿宋" w:eastAsia="仿宋" w:cs="仿宋"/>
                <w:color w:val="000000"/>
                <w:szCs w:val="21"/>
              </w:rPr>
            </w:pPr>
            <w:r>
              <w:rPr>
                <w:rFonts w:hint="eastAsia" w:ascii="仿宋" w:hAnsi="仿宋" w:eastAsia="仿宋" w:cs="仿宋"/>
                <w:color w:val="000000"/>
                <w:szCs w:val="21"/>
              </w:rPr>
              <w:t>培育和认定校本“双师型”教师；引进具有企业实践经验的技能型“双师型”教师；合力打造国家、省级教学团队和技能大师工作室，实现“双师型”教师高质量“蜕变”，引领专业建设发展。</w:t>
            </w:r>
          </w:p>
        </w:tc>
        <w:tc>
          <w:tcPr>
            <w:tcW w:w="0" w:type="auto"/>
            <w:tcBorders>
              <w:top w:val="single" w:color="000000" w:sz="4" w:space="0"/>
              <w:left w:val="single" w:color="000000" w:sz="4" w:space="0"/>
              <w:bottom w:val="single" w:color="000000" w:sz="4" w:space="0"/>
              <w:right w:val="single" w:color="000000" w:sz="4" w:space="0"/>
            </w:tcBorders>
            <w:vAlign w:val="center"/>
          </w:tcPr>
          <w:p>
            <w:pPr>
              <w:jc w:val="left"/>
              <w:rPr>
                <w:rFonts w:ascii="仿宋" w:hAnsi="仿宋" w:eastAsia="仿宋" w:cs="仿宋"/>
                <w:color w:val="000000"/>
                <w:szCs w:val="21"/>
              </w:rPr>
            </w:pPr>
            <w:r>
              <w:rPr>
                <w:rFonts w:hint="eastAsia" w:ascii="仿宋" w:hAnsi="仿宋" w:eastAsia="仿宋" w:cs="仿宋"/>
                <w:color w:val="000000"/>
                <w:szCs w:val="21"/>
              </w:rPr>
              <w:t>打造国家级教学名师和教师团队1名（支），省级教学名师和教学团队2名（支），省级教学创新团队2支。建设省级技能大师工作室2个以上，示范性职工培训基地4个，引育高层次技能型兼职教师2名以上，专业（群）带头人5名。具备双师素质的教师占比达80%以上。</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Cs w:val="21"/>
              </w:rPr>
            </w:pPr>
            <w:r>
              <w:rPr>
                <w:rFonts w:hint="eastAsia" w:ascii="仿宋" w:hAnsi="仿宋" w:eastAsia="仿宋" w:cs="仿宋"/>
                <w:color w:val="000000"/>
                <w:szCs w:val="21"/>
              </w:rPr>
              <w:t>50</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Cs w:val="21"/>
              </w:rPr>
            </w:pPr>
            <w:r>
              <w:rPr>
                <w:rFonts w:hint="eastAsia" w:ascii="仿宋" w:hAnsi="仿宋" w:eastAsia="仿宋" w:cs="仿宋"/>
                <w:color w:val="000000"/>
                <w:szCs w:val="21"/>
              </w:rPr>
              <w:t>100</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Cs w:val="21"/>
              </w:rPr>
            </w:pPr>
            <w:r>
              <w:rPr>
                <w:rFonts w:hint="eastAsia" w:ascii="仿宋" w:hAnsi="仿宋" w:eastAsia="仿宋" w:cs="仿宋"/>
                <w:color w:val="000000"/>
                <w:szCs w:val="21"/>
              </w:rPr>
              <w:t>200</w:t>
            </w:r>
          </w:p>
        </w:tc>
      </w:tr>
    </w:tbl>
    <w:p/>
    <w:p>
      <w:pPr>
        <w:pStyle w:val="4"/>
      </w:pPr>
      <w:bookmarkStart w:id="60" w:name="_Toc164347848"/>
      <w:r>
        <w:rPr>
          <w:rFonts w:hint="eastAsia"/>
        </w:rPr>
        <w:t>2.</w:t>
      </w:r>
      <w:bookmarkStart w:id="61" w:name="_Toc20431"/>
      <w:r>
        <w:rPr>
          <w:rFonts w:hint="eastAsia"/>
        </w:rPr>
        <w:fldChar w:fldCharType="begin"/>
      </w:r>
      <w:r>
        <w:rPr>
          <w:rFonts w:hint="eastAsia"/>
        </w:rPr>
        <w:instrText xml:space="preserve"> HYPERLINK \l "_Toc9462" </w:instrText>
      </w:r>
      <w:r>
        <w:rPr>
          <w:rFonts w:hint="eastAsia"/>
        </w:rPr>
        <w:fldChar w:fldCharType="separate"/>
      </w:r>
      <w:r>
        <w:rPr>
          <w:rFonts w:hint="eastAsia"/>
        </w:rPr>
        <w:t>专任教师实践锻炼和兼职教师队伍建设</w:t>
      </w:r>
      <w:r>
        <w:rPr>
          <w:rFonts w:hint="eastAsia"/>
        </w:rPr>
        <w:fldChar w:fldCharType="end"/>
      </w:r>
      <w:bookmarkEnd w:id="61"/>
      <w:r>
        <w:rPr>
          <w:rFonts w:hint="eastAsia"/>
        </w:rPr>
        <w:t>项目</w:t>
      </w:r>
      <w:bookmarkEnd w:id="60"/>
    </w:p>
    <w:p>
      <w:pPr>
        <w:spacing w:line="540" w:lineRule="exact"/>
        <w:ind w:firstLine="562" w:firstLineChars="200"/>
        <w:rPr>
          <w:rFonts w:ascii="仿宋" w:hAnsi="仿宋" w:eastAsia="仿宋" w:cs="仿宋"/>
          <w:b/>
          <w:bCs/>
          <w:color w:val="FF0000"/>
          <w:sz w:val="28"/>
          <w:szCs w:val="28"/>
        </w:rPr>
      </w:pPr>
      <w:r>
        <w:rPr>
          <w:rFonts w:hint="eastAsia" w:ascii="仿宋" w:hAnsi="仿宋" w:eastAsia="仿宋" w:cs="仿宋"/>
          <w:b/>
          <w:bCs/>
          <w:sz w:val="28"/>
          <w:szCs w:val="28"/>
        </w:rPr>
        <w:t>（1）必要性和可行性</w:t>
      </w:r>
    </w:p>
    <w:p>
      <w:pPr>
        <w:spacing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根据《教育部等七部门关于印发《职业学校教师企业实践规定》的通知》（教师〔2016〕3号）《惠州工程职业学院兼职教师管理办法（试行）》（惠工程院〔2020〕113号）《惠州工程职业学院教师下企业实践办法》等一系列相关文件精神要求以及国家、省市每年出台的关于国培、省培、市培相关的方案要求，</w:t>
      </w:r>
      <w:r>
        <w:rPr>
          <w:rFonts w:ascii="仿宋" w:hAnsi="仿宋" w:eastAsia="仿宋" w:cs="仿宋"/>
          <w:bCs/>
          <w:sz w:val="28"/>
          <w:szCs w:val="28"/>
        </w:rPr>
        <w:t>学校依法依规</w:t>
      </w:r>
      <w:r>
        <w:rPr>
          <w:rFonts w:hint="eastAsia" w:ascii="仿宋" w:hAnsi="仿宋" w:eastAsia="仿宋" w:cs="仿宋"/>
          <w:bCs/>
          <w:sz w:val="28"/>
          <w:szCs w:val="28"/>
        </w:rPr>
        <w:t>认真</w:t>
      </w:r>
      <w:r>
        <w:rPr>
          <w:rFonts w:ascii="仿宋" w:hAnsi="仿宋" w:eastAsia="仿宋" w:cs="仿宋"/>
          <w:bCs/>
          <w:sz w:val="28"/>
          <w:szCs w:val="28"/>
        </w:rPr>
        <w:t>组织教师下企业进行实践</w:t>
      </w:r>
      <w:r>
        <w:rPr>
          <w:rFonts w:hint="eastAsia" w:ascii="仿宋" w:hAnsi="仿宋" w:eastAsia="仿宋" w:cs="仿宋"/>
          <w:bCs/>
          <w:sz w:val="28"/>
          <w:szCs w:val="28"/>
        </w:rPr>
        <w:t>和</w:t>
      </w:r>
      <w:r>
        <w:rPr>
          <w:rFonts w:ascii="仿宋" w:hAnsi="仿宋" w:eastAsia="仿宋" w:cs="仿宋"/>
          <w:bCs/>
          <w:sz w:val="28"/>
          <w:szCs w:val="28"/>
        </w:rPr>
        <w:t>进行</w:t>
      </w:r>
      <w:r>
        <w:rPr>
          <w:rFonts w:hint="eastAsia" w:ascii="仿宋" w:hAnsi="仿宋" w:eastAsia="仿宋" w:cs="仿宋"/>
          <w:bCs/>
          <w:sz w:val="28"/>
          <w:szCs w:val="28"/>
        </w:rPr>
        <w:t>兼职</w:t>
      </w:r>
      <w:r>
        <w:rPr>
          <w:rFonts w:ascii="仿宋" w:hAnsi="仿宋" w:eastAsia="仿宋" w:cs="仿宋"/>
          <w:bCs/>
          <w:sz w:val="28"/>
          <w:szCs w:val="28"/>
        </w:rPr>
        <w:t>教师队伍建设管理，拓展了教师企业实践能力，增长了经验，为提升教学质量提供了切实</w:t>
      </w:r>
      <w:r>
        <w:rPr>
          <w:rFonts w:hint="eastAsia" w:ascii="仿宋" w:hAnsi="仿宋" w:eastAsia="仿宋" w:cs="仿宋"/>
          <w:bCs/>
          <w:sz w:val="28"/>
          <w:szCs w:val="28"/>
        </w:rPr>
        <w:t>保障。</w:t>
      </w:r>
    </w:p>
    <w:p>
      <w:pPr>
        <w:spacing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学校</w:t>
      </w:r>
      <w:r>
        <w:rPr>
          <w:rFonts w:ascii="仿宋" w:hAnsi="仿宋" w:eastAsia="仿宋" w:cs="仿宋"/>
          <w:bCs/>
          <w:sz w:val="28"/>
          <w:szCs w:val="28"/>
        </w:rPr>
        <w:t>拥有一批专业对口、技术</w:t>
      </w:r>
      <w:r>
        <w:rPr>
          <w:rFonts w:hint="eastAsia" w:ascii="仿宋" w:hAnsi="仿宋" w:eastAsia="仿宋" w:cs="仿宋"/>
          <w:bCs/>
          <w:sz w:val="28"/>
          <w:szCs w:val="28"/>
        </w:rPr>
        <w:t>雄厚</w:t>
      </w:r>
      <w:r>
        <w:rPr>
          <w:rFonts w:ascii="仿宋" w:hAnsi="仿宋" w:eastAsia="仿宋" w:cs="仿宋"/>
          <w:bCs/>
          <w:sz w:val="28"/>
          <w:szCs w:val="28"/>
        </w:rPr>
        <w:t>的校企</w:t>
      </w:r>
      <w:r>
        <w:rPr>
          <w:rFonts w:hint="eastAsia" w:ascii="仿宋" w:hAnsi="仿宋" w:eastAsia="仿宋" w:cs="仿宋"/>
          <w:bCs/>
          <w:sz w:val="28"/>
          <w:szCs w:val="28"/>
        </w:rPr>
        <w:t>共建</w:t>
      </w:r>
      <w:r>
        <w:rPr>
          <w:rFonts w:ascii="仿宋" w:hAnsi="仿宋" w:eastAsia="仿宋" w:cs="仿宋"/>
          <w:bCs/>
          <w:sz w:val="28"/>
          <w:szCs w:val="28"/>
        </w:rPr>
        <w:t>合作企业可</w:t>
      </w:r>
      <w:r>
        <w:rPr>
          <w:rFonts w:hint="eastAsia" w:ascii="仿宋" w:hAnsi="仿宋" w:eastAsia="仿宋" w:cs="仿宋"/>
          <w:bCs/>
          <w:sz w:val="28"/>
          <w:szCs w:val="28"/>
        </w:rPr>
        <w:t>供</w:t>
      </w:r>
      <w:r>
        <w:rPr>
          <w:rFonts w:ascii="仿宋" w:hAnsi="仿宋" w:eastAsia="仿宋" w:cs="仿宋"/>
          <w:bCs/>
          <w:sz w:val="28"/>
          <w:szCs w:val="28"/>
        </w:rPr>
        <w:t>教师下企业锻炼，</w:t>
      </w:r>
      <w:r>
        <w:rPr>
          <w:rFonts w:hint="eastAsia" w:ascii="仿宋" w:hAnsi="仿宋" w:eastAsia="仿宋" w:cs="仿宋"/>
          <w:bCs/>
          <w:sz w:val="28"/>
          <w:szCs w:val="28"/>
        </w:rPr>
        <w:t>通过</w:t>
      </w:r>
      <w:r>
        <w:rPr>
          <w:rFonts w:ascii="仿宋" w:hAnsi="仿宋" w:eastAsia="仿宋" w:cs="仿宋"/>
          <w:bCs/>
          <w:sz w:val="28"/>
          <w:szCs w:val="28"/>
        </w:rPr>
        <w:t>校企</w:t>
      </w:r>
      <w:r>
        <w:rPr>
          <w:rFonts w:hint="eastAsia" w:ascii="仿宋" w:hAnsi="仿宋" w:eastAsia="仿宋" w:cs="仿宋"/>
          <w:bCs/>
          <w:sz w:val="28"/>
          <w:szCs w:val="28"/>
        </w:rPr>
        <w:t>合作</w:t>
      </w:r>
      <w:r>
        <w:rPr>
          <w:rFonts w:ascii="仿宋" w:hAnsi="仿宋" w:eastAsia="仿宋" w:cs="仿宋"/>
          <w:bCs/>
          <w:sz w:val="28"/>
          <w:szCs w:val="28"/>
        </w:rPr>
        <w:t>融通，实现师资共建互享</w:t>
      </w:r>
      <w:r>
        <w:rPr>
          <w:rFonts w:hint="eastAsia" w:ascii="仿宋" w:hAnsi="仿宋" w:eastAsia="仿宋" w:cs="仿宋"/>
          <w:bCs/>
          <w:sz w:val="28"/>
          <w:szCs w:val="28"/>
        </w:rPr>
        <w:t>，资源</w:t>
      </w:r>
      <w:r>
        <w:rPr>
          <w:rFonts w:ascii="仿宋" w:hAnsi="仿宋" w:eastAsia="仿宋" w:cs="仿宋"/>
          <w:bCs/>
          <w:sz w:val="28"/>
          <w:szCs w:val="28"/>
        </w:rPr>
        <w:t>共享</w:t>
      </w:r>
      <w:r>
        <w:rPr>
          <w:rFonts w:hint="eastAsia" w:ascii="仿宋" w:hAnsi="仿宋" w:eastAsia="仿宋" w:cs="仿宋"/>
          <w:bCs/>
          <w:sz w:val="28"/>
          <w:szCs w:val="28"/>
        </w:rPr>
        <w:t>，</w:t>
      </w:r>
      <w:r>
        <w:rPr>
          <w:rFonts w:ascii="仿宋" w:hAnsi="仿宋" w:eastAsia="仿宋" w:cs="仿宋"/>
          <w:bCs/>
          <w:sz w:val="28"/>
          <w:szCs w:val="28"/>
        </w:rPr>
        <w:t>切实</w:t>
      </w:r>
      <w:r>
        <w:rPr>
          <w:rFonts w:hint="eastAsia" w:ascii="仿宋" w:hAnsi="仿宋" w:eastAsia="仿宋" w:cs="仿宋"/>
          <w:bCs/>
          <w:sz w:val="28"/>
          <w:szCs w:val="28"/>
        </w:rPr>
        <w:t>提高</w:t>
      </w:r>
      <w:r>
        <w:rPr>
          <w:rFonts w:ascii="仿宋" w:hAnsi="仿宋" w:eastAsia="仿宋" w:cs="仿宋"/>
          <w:bCs/>
          <w:sz w:val="28"/>
          <w:szCs w:val="28"/>
        </w:rPr>
        <w:t>教师</w:t>
      </w:r>
      <w:r>
        <w:rPr>
          <w:rFonts w:hint="eastAsia" w:ascii="仿宋" w:hAnsi="仿宋" w:eastAsia="仿宋" w:cs="仿宋"/>
          <w:bCs/>
          <w:sz w:val="28"/>
          <w:szCs w:val="28"/>
        </w:rPr>
        <w:t>专业</w:t>
      </w:r>
      <w:r>
        <w:rPr>
          <w:rFonts w:ascii="仿宋" w:hAnsi="仿宋" w:eastAsia="仿宋" w:cs="仿宋"/>
          <w:bCs/>
          <w:sz w:val="28"/>
          <w:szCs w:val="28"/>
        </w:rPr>
        <w:t>实践</w:t>
      </w:r>
      <w:r>
        <w:rPr>
          <w:rFonts w:hint="eastAsia" w:ascii="仿宋" w:hAnsi="仿宋" w:eastAsia="仿宋" w:cs="仿宋"/>
          <w:bCs/>
          <w:sz w:val="28"/>
          <w:szCs w:val="28"/>
        </w:rPr>
        <w:t>能力和</w:t>
      </w:r>
      <w:r>
        <w:rPr>
          <w:rFonts w:ascii="仿宋" w:hAnsi="仿宋" w:eastAsia="仿宋" w:cs="仿宋"/>
          <w:bCs/>
          <w:sz w:val="28"/>
          <w:szCs w:val="28"/>
        </w:rPr>
        <w:t>科研水平</w:t>
      </w:r>
      <w:r>
        <w:rPr>
          <w:rFonts w:hint="eastAsia" w:ascii="仿宋" w:hAnsi="仿宋" w:eastAsia="仿宋" w:cs="仿宋"/>
          <w:bCs/>
          <w:sz w:val="28"/>
          <w:szCs w:val="28"/>
        </w:rPr>
        <w:t>；通过灵活</w:t>
      </w:r>
      <w:r>
        <w:rPr>
          <w:rFonts w:ascii="仿宋" w:hAnsi="仿宋" w:eastAsia="仿宋" w:cs="仿宋"/>
          <w:bCs/>
          <w:sz w:val="28"/>
          <w:szCs w:val="28"/>
        </w:rPr>
        <w:t>的用人机制，</w:t>
      </w:r>
      <w:r>
        <w:rPr>
          <w:rFonts w:hint="eastAsia" w:ascii="仿宋" w:hAnsi="仿宋" w:eastAsia="仿宋" w:cs="仿宋"/>
          <w:bCs/>
          <w:sz w:val="28"/>
          <w:szCs w:val="28"/>
        </w:rPr>
        <w:t>引进</w:t>
      </w:r>
      <w:r>
        <w:rPr>
          <w:rFonts w:ascii="仿宋" w:hAnsi="仿宋" w:eastAsia="仿宋" w:cs="仿宋"/>
          <w:bCs/>
          <w:sz w:val="28"/>
          <w:szCs w:val="28"/>
        </w:rPr>
        <w:t>高技术技能型人才充实兼职教师队伍数量和规模，</w:t>
      </w:r>
      <w:r>
        <w:rPr>
          <w:rFonts w:hint="eastAsia" w:ascii="仿宋" w:hAnsi="仿宋" w:eastAsia="仿宋" w:cs="仿宋"/>
          <w:bCs/>
          <w:sz w:val="28"/>
          <w:szCs w:val="28"/>
        </w:rPr>
        <w:t>进一步</w:t>
      </w:r>
      <w:r>
        <w:rPr>
          <w:rFonts w:ascii="仿宋" w:hAnsi="仿宋" w:eastAsia="仿宋" w:cs="仿宋"/>
          <w:bCs/>
          <w:sz w:val="28"/>
          <w:szCs w:val="28"/>
        </w:rPr>
        <w:t>完善校内兼职教师</w:t>
      </w:r>
      <w:r>
        <w:rPr>
          <w:rFonts w:hint="eastAsia" w:ascii="仿宋" w:hAnsi="仿宋" w:eastAsia="仿宋" w:cs="仿宋"/>
          <w:bCs/>
          <w:sz w:val="28"/>
          <w:szCs w:val="28"/>
        </w:rPr>
        <w:t>制度</w:t>
      </w:r>
      <w:r>
        <w:rPr>
          <w:rFonts w:ascii="仿宋" w:hAnsi="仿宋" w:eastAsia="仿宋" w:cs="仿宋"/>
          <w:bCs/>
          <w:sz w:val="28"/>
          <w:szCs w:val="28"/>
        </w:rPr>
        <w:t>，确保兼职教师队伍建设有章可循，</w:t>
      </w:r>
      <w:r>
        <w:rPr>
          <w:rFonts w:hint="eastAsia" w:ascii="仿宋" w:hAnsi="仿宋" w:eastAsia="仿宋" w:cs="仿宋"/>
          <w:bCs/>
          <w:sz w:val="28"/>
          <w:szCs w:val="28"/>
        </w:rPr>
        <w:t>加快</w:t>
      </w:r>
      <w:r>
        <w:rPr>
          <w:rFonts w:ascii="仿宋" w:hAnsi="仿宋" w:eastAsia="仿宋" w:cs="仿宋"/>
          <w:bCs/>
          <w:sz w:val="28"/>
          <w:szCs w:val="28"/>
        </w:rPr>
        <w:t>培养高素质的兼职教师人才队伍。</w:t>
      </w:r>
    </w:p>
    <w:p>
      <w:pPr>
        <w:spacing w:line="54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（2）拟解决的关键问题</w:t>
      </w:r>
    </w:p>
    <w:p>
      <w:pPr>
        <w:spacing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通过组织选派、自主选择相结合的方式，落实专业</w:t>
      </w:r>
      <w:r>
        <w:rPr>
          <w:rFonts w:ascii="仿宋" w:hAnsi="仿宋" w:eastAsia="仿宋" w:cs="仿宋"/>
          <w:bCs/>
          <w:sz w:val="28"/>
          <w:szCs w:val="28"/>
        </w:rPr>
        <w:t>课</w:t>
      </w:r>
      <w:r>
        <w:rPr>
          <w:rFonts w:hint="eastAsia" w:ascii="仿宋" w:hAnsi="仿宋" w:eastAsia="仿宋" w:cs="仿宋"/>
          <w:bCs/>
          <w:sz w:val="28"/>
          <w:szCs w:val="28"/>
        </w:rPr>
        <w:t>教师每年至少1个月在企业或实训基地实训等要求，探索新教师为期1年教育见习和3年企业实践工作机制。建立教师企业实践工作标准，完善管理制度，加强督导监督，提高实践效果。通过教师企业</w:t>
      </w:r>
      <w:r>
        <w:rPr>
          <w:rFonts w:ascii="仿宋" w:hAnsi="仿宋" w:eastAsia="仿宋" w:cs="仿宋"/>
          <w:bCs/>
          <w:sz w:val="28"/>
          <w:szCs w:val="28"/>
        </w:rPr>
        <w:t>实践</w:t>
      </w:r>
      <w:r>
        <w:rPr>
          <w:rFonts w:hint="eastAsia" w:ascii="仿宋" w:hAnsi="仿宋" w:eastAsia="仿宋" w:cs="仿宋"/>
          <w:bCs/>
          <w:sz w:val="28"/>
          <w:szCs w:val="28"/>
        </w:rPr>
        <w:t>、员工入校提升、人员联合培养、互通使用等举措，建立校企人员双向流动协作共同体，推动产教深度融合。</w:t>
      </w:r>
    </w:p>
    <w:p>
      <w:pPr>
        <w:spacing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建立科研带动机制，提升师生解决生产实际难题的能力。依托学校重大科研和项目平台，组织师生科研团队参与企业科技攻关、技术创新、技艺改进等，推动工学高度结合，全面提升骨干教师解决生产实际难题的能力。鼓励教师在企业兼职开展技术研发，携带科研项目、发明专利等成果，凭借自身专业知识在岗或离岗到企业创新创业或自主创办企业。</w:t>
      </w:r>
    </w:p>
    <w:p>
      <w:pPr>
        <w:spacing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学院</w:t>
      </w:r>
      <w:r>
        <w:rPr>
          <w:rFonts w:ascii="仿宋" w:hAnsi="仿宋" w:eastAsia="仿宋" w:cs="仿宋"/>
          <w:bCs/>
          <w:sz w:val="28"/>
          <w:szCs w:val="28"/>
        </w:rPr>
        <w:t>按照国家、省市</w:t>
      </w:r>
      <w:r>
        <w:rPr>
          <w:rFonts w:hint="eastAsia" w:ascii="仿宋" w:hAnsi="仿宋" w:eastAsia="仿宋" w:cs="仿宋"/>
          <w:bCs/>
          <w:sz w:val="28"/>
          <w:szCs w:val="28"/>
        </w:rPr>
        <w:t>教育</w:t>
      </w:r>
      <w:r>
        <w:rPr>
          <w:rFonts w:ascii="仿宋" w:hAnsi="仿宋" w:eastAsia="仿宋" w:cs="仿宋"/>
          <w:bCs/>
          <w:sz w:val="28"/>
          <w:szCs w:val="28"/>
        </w:rPr>
        <w:t>管理部门培训</w:t>
      </w:r>
      <w:r>
        <w:rPr>
          <w:rFonts w:hint="eastAsia" w:ascii="仿宋" w:hAnsi="仿宋" w:eastAsia="仿宋" w:cs="仿宋"/>
          <w:bCs/>
          <w:sz w:val="28"/>
          <w:szCs w:val="28"/>
        </w:rPr>
        <w:t>文件</w:t>
      </w:r>
      <w:r>
        <w:rPr>
          <w:rFonts w:ascii="仿宋" w:hAnsi="仿宋" w:eastAsia="仿宋" w:cs="仿宋"/>
          <w:bCs/>
          <w:sz w:val="28"/>
          <w:szCs w:val="28"/>
        </w:rPr>
        <w:t>政策要求</w:t>
      </w:r>
      <w:r>
        <w:rPr>
          <w:rFonts w:hint="eastAsia" w:ascii="仿宋" w:hAnsi="仿宋" w:eastAsia="仿宋" w:cs="仿宋"/>
          <w:bCs/>
          <w:sz w:val="28"/>
          <w:szCs w:val="28"/>
        </w:rPr>
        <w:t>，组织</w:t>
      </w:r>
      <w:r>
        <w:rPr>
          <w:rFonts w:ascii="仿宋" w:hAnsi="仿宋" w:eastAsia="仿宋" w:cs="仿宋"/>
          <w:bCs/>
          <w:sz w:val="28"/>
          <w:szCs w:val="28"/>
        </w:rPr>
        <w:t>和发</w:t>
      </w:r>
      <w:r>
        <w:rPr>
          <w:rFonts w:hint="eastAsia" w:ascii="仿宋" w:hAnsi="仿宋" w:eastAsia="仿宋" w:cs="仿宋"/>
          <w:bCs/>
          <w:sz w:val="28"/>
          <w:szCs w:val="28"/>
        </w:rPr>
        <w:t>动</w:t>
      </w:r>
      <w:r>
        <w:rPr>
          <w:rFonts w:ascii="仿宋" w:hAnsi="仿宋" w:eastAsia="仿宋" w:cs="仿宋"/>
          <w:bCs/>
          <w:sz w:val="28"/>
          <w:szCs w:val="28"/>
        </w:rPr>
        <w:t>教师参训</w:t>
      </w:r>
      <w:r>
        <w:rPr>
          <w:rFonts w:hint="eastAsia" w:ascii="仿宋" w:hAnsi="仿宋" w:eastAsia="仿宋" w:cs="仿宋"/>
          <w:bCs/>
          <w:sz w:val="28"/>
          <w:szCs w:val="28"/>
        </w:rPr>
        <w:t>，进一步</w:t>
      </w:r>
      <w:r>
        <w:rPr>
          <w:rFonts w:ascii="仿宋" w:hAnsi="仿宋" w:eastAsia="仿宋" w:cs="仿宋"/>
          <w:bCs/>
          <w:sz w:val="28"/>
          <w:szCs w:val="28"/>
        </w:rPr>
        <w:t>提升</w:t>
      </w:r>
      <w:r>
        <w:rPr>
          <w:rFonts w:hint="eastAsia" w:ascii="仿宋" w:hAnsi="仿宋" w:eastAsia="仿宋" w:cs="仿宋"/>
          <w:bCs/>
          <w:sz w:val="28"/>
          <w:szCs w:val="28"/>
        </w:rPr>
        <w:t>教</w:t>
      </w:r>
      <w:r>
        <w:rPr>
          <w:rFonts w:ascii="仿宋" w:hAnsi="仿宋" w:eastAsia="仿宋" w:cs="仿宋"/>
          <w:bCs/>
          <w:sz w:val="28"/>
          <w:szCs w:val="28"/>
        </w:rPr>
        <w:t>师的教育教学水平</w:t>
      </w:r>
      <w:r>
        <w:rPr>
          <w:rFonts w:hint="eastAsia" w:ascii="仿宋" w:hAnsi="仿宋" w:eastAsia="仿宋" w:cs="仿宋"/>
          <w:bCs/>
          <w:sz w:val="28"/>
          <w:szCs w:val="28"/>
        </w:rPr>
        <w:t>和</w:t>
      </w:r>
      <w:r>
        <w:rPr>
          <w:rFonts w:ascii="仿宋" w:hAnsi="仿宋" w:eastAsia="仿宋" w:cs="仿宋"/>
          <w:bCs/>
          <w:sz w:val="28"/>
          <w:szCs w:val="28"/>
        </w:rPr>
        <w:t>职业技能水平。</w:t>
      </w:r>
    </w:p>
    <w:p>
      <w:pPr>
        <w:spacing w:line="54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（3）建设目标</w:t>
      </w:r>
    </w:p>
    <w:p>
      <w:pPr>
        <w:spacing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严格落实《教育部等七部门关于印发《职业学校教师企业实践规定》的通知》</w:t>
      </w:r>
      <w:r>
        <w:rPr>
          <w:rFonts w:ascii="仿宋" w:hAnsi="仿宋" w:eastAsia="仿宋" w:cs="仿宋"/>
          <w:bCs/>
          <w:sz w:val="28"/>
          <w:szCs w:val="28"/>
        </w:rPr>
        <w:t>（</w:t>
      </w:r>
      <w:r>
        <w:rPr>
          <w:rFonts w:hint="eastAsia" w:ascii="仿宋" w:hAnsi="仿宋" w:eastAsia="仿宋" w:cs="仿宋"/>
          <w:bCs/>
          <w:sz w:val="28"/>
          <w:szCs w:val="28"/>
        </w:rPr>
        <w:t>教师〔2016〕3号）《惠州工程职业学院兼职教师管理办法（试行）》（惠工程院〔2020〕113号）等</w:t>
      </w:r>
      <w:r>
        <w:rPr>
          <w:rFonts w:ascii="仿宋" w:hAnsi="仿宋" w:eastAsia="仿宋" w:cs="仿宋"/>
          <w:bCs/>
          <w:sz w:val="28"/>
          <w:szCs w:val="28"/>
        </w:rPr>
        <w:t>一系列相关文件精神要求</w:t>
      </w:r>
      <w:r>
        <w:rPr>
          <w:rFonts w:hint="eastAsia" w:ascii="仿宋" w:hAnsi="仿宋" w:eastAsia="仿宋" w:cs="仿宋"/>
          <w:bCs/>
          <w:sz w:val="28"/>
          <w:szCs w:val="28"/>
        </w:rPr>
        <w:t>以</w:t>
      </w:r>
      <w:r>
        <w:rPr>
          <w:rFonts w:ascii="仿宋" w:hAnsi="仿宋" w:eastAsia="仿宋" w:cs="仿宋"/>
          <w:bCs/>
          <w:sz w:val="28"/>
          <w:szCs w:val="28"/>
        </w:rPr>
        <w:t>及国家、省</w:t>
      </w:r>
      <w:r>
        <w:rPr>
          <w:rFonts w:hint="eastAsia" w:ascii="仿宋" w:hAnsi="仿宋" w:eastAsia="仿宋" w:cs="仿宋"/>
          <w:bCs/>
          <w:sz w:val="28"/>
          <w:szCs w:val="28"/>
        </w:rPr>
        <w:t>市每</w:t>
      </w:r>
      <w:r>
        <w:rPr>
          <w:rFonts w:ascii="仿宋" w:hAnsi="仿宋" w:eastAsia="仿宋" w:cs="仿宋"/>
          <w:bCs/>
          <w:sz w:val="28"/>
          <w:szCs w:val="28"/>
        </w:rPr>
        <w:t>年出台的关于国培</w:t>
      </w:r>
      <w:r>
        <w:rPr>
          <w:rFonts w:hint="eastAsia" w:ascii="仿宋" w:hAnsi="仿宋" w:eastAsia="仿宋" w:cs="仿宋"/>
          <w:bCs/>
          <w:sz w:val="28"/>
          <w:szCs w:val="28"/>
        </w:rPr>
        <w:t>、</w:t>
      </w:r>
      <w:r>
        <w:rPr>
          <w:rFonts w:ascii="仿宋" w:hAnsi="仿宋" w:eastAsia="仿宋" w:cs="仿宋"/>
          <w:bCs/>
          <w:sz w:val="28"/>
          <w:szCs w:val="28"/>
        </w:rPr>
        <w:t>省培、市培相关的方案要求，全面推进专任教师实践锻炼</w:t>
      </w:r>
      <w:r>
        <w:rPr>
          <w:rFonts w:hint="eastAsia" w:ascii="仿宋" w:hAnsi="仿宋" w:eastAsia="仿宋" w:cs="仿宋"/>
          <w:bCs/>
          <w:sz w:val="28"/>
          <w:szCs w:val="28"/>
        </w:rPr>
        <w:t>和</w:t>
      </w:r>
      <w:r>
        <w:rPr>
          <w:rFonts w:ascii="仿宋" w:hAnsi="仿宋" w:eastAsia="仿宋" w:cs="仿宋"/>
          <w:bCs/>
          <w:sz w:val="28"/>
          <w:szCs w:val="28"/>
        </w:rPr>
        <w:t>外出培训实践</w:t>
      </w:r>
      <w:r>
        <w:rPr>
          <w:rFonts w:hint="eastAsia" w:ascii="仿宋" w:hAnsi="仿宋" w:eastAsia="仿宋" w:cs="仿宋"/>
          <w:bCs/>
          <w:sz w:val="28"/>
          <w:szCs w:val="28"/>
        </w:rPr>
        <w:t>，</w:t>
      </w:r>
      <w:r>
        <w:rPr>
          <w:rFonts w:ascii="仿宋" w:hAnsi="仿宋" w:eastAsia="仿宋" w:cs="仿宋"/>
          <w:bCs/>
          <w:sz w:val="28"/>
          <w:szCs w:val="28"/>
        </w:rPr>
        <w:t>争取教师</w:t>
      </w:r>
      <w:r>
        <w:rPr>
          <w:rFonts w:hint="eastAsia" w:ascii="仿宋" w:hAnsi="仿宋" w:eastAsia="仿宋" w:cs="仿宋"/>
          <w:bCs/>
          <w:sz w:val="28"/>
          <w:szCs w:val="28"/>
        </w:rPr>
        <w:t>年</w:t>
      </w:r>
      <w:r>
        <w:rPr>
          <w:rFonts w:ascii="仿宋" w:hAnsi="仿宋" w:eastAsia="仿宋" w:cs="仿宋"/>
          <w:bCs/>
          <w:sz w:val="28"/>
          <w:szCs w:val="28"/>
        </w:rPr>
        <w:t>均下企业</w:t>
      </w:r>
      <w:r>
        <w:rPr>
          <w:rFonts w:hint="eastAsia" w:ascii="仿宋" w:hAnsi="仿宋" w:eastAsia="仿宋" w:cs="仿宋"/>
          <w:bCs/>
          <w:sz w:val="28"/>
          <w:szCs w:val="28"/>
        </w:rPr>
        <w:t>人数占专任</w:t>
      </w:r>
      <w:r>
        <w:rPr>
          <w:rFonts w:ascii="仿宋" w:hAnsi="仿宋" w:eastAsia="仿宋" w:cs="仿宋"/>
          <w:bCs/>
          <w:sz w:val="28"/>
          <w:szCs w:val="28"/>
        </w:rPr>
        <w:t>教师比例不低于</w:t>
      </w:r>
      <w:r>
        <w:rPr>
          <w:rFonts w:hint="eastAsia" w:ascii="仿宋" w:hAnsi="仿宋" w:eastAsia="仿宋" w:cs="仿宋"/>
          <w:bCs/>
          <w:sz w:val="28"/>
          <w:szCs w:val="28"/>
        </w:rPr>
        <w:t>20%；参加</w:t>
      </w:r>
      <w:r>
        <w:rPr>
          <w:rFonts w:ascii="仿宋" w:hAnsi="仿宋" w:eastAsia="仿宋" w:cs="仿宋"/>
          <w:bCs/>
          <w:sz w:val="28"/>
          <w:szCs w:val="28"/>
        </w:rPr>
        <w:t>国培、省培和市培</w:t>
      </w:r>
      <w:r>
        <w:rPr>
          <w:rFonts w:hint="eastAsia" w:ascii="仿宋" w:hAnsi="仿宋" w:eastAsia="仿宋" w:cs="仿宋"/>
          <w:bCs/>
          <w:sz w:val="28"/>
          <w:szCs w:val="28"/>
        </w:rPr>
        <w:t>的</w:t>
      </w:r>
      <w:r>
        <w:rPr>
          <w:rFonts w:ascii="仿宋" w:hAnsi="仿宋" w:eastAsia="仿宋" w:cs="仿宋"/>
          <w:bCs/>
          <w:sz w:val="28"/>
          <w:szCs w:val="28"/>
        </w:rPr>
        <w:t>专任教师</w:t>
      </w:r>
      <w:r>
        <w:rPr>
          <w:rFonts w:hint="eastAsia" w:ascii="仿宋" w:hAnsi="仿宋" w:eastAsia="仿宋" w:cs="仿宋"/>
          <w:bCs/>
          <w:sz w:val="28"/>
          <w:szCs w:val="28"/>
        </w:rPr>
        <w:t>人</w:t>
      </w:r>
      <w:r>
        <w:rPr>
          <w:rFonts w:ascii="仿宋" w:hAnsi="仿宋" w:eastAsia="仿宋" w:cs="仿宋"/>
          <w:bCs/>
          <w:sz w:val="28"/>
          <w:szCs w:val="28"/>
        </w:rPr>
        <w:t>数</w:t>
      </w:r>
      <w:r>
        <w:rPr>
          <w:rFonts w:hint="eastAsia" w:ascii="仿宋" w:hAnsi="仿宋" w:eastAsia="仿宋" w:cs="仿宋"/>
          <w:bCs/>
          <w:sz w:val="28"/>
          <w:szCs w:val="28"/>
        </w:rPr>
        <w:t>总</w:t>
      </w:r>
      <w:r>
        <w:rPr>
          <w:rFonts w:ascii="仿宋" w:hAnsi="仿宋" w:eastAsia="仿宋" w:cs="仿宋"/>
          <w:bCs/>
          <w:sz w:val="28"/>
          <w:szCs w:val="28"/>
        </w:rPr>
        <w:t>数不低于</w:t>
      </w:r>
      <w:r>
        <w:rPr>
          <w:rFonts w:hint="eastAsia" w:ascii="仿宋" w:hAnsi="仿宋" w:eastAsia="仿宋" w:cs="仿宋"/>
          <w:bCs/>
          <w:sz w:val="28"/>
          <w:szCs w:val="28"/>
        </w:rPr>
        <w:t>20%。</w:t>
      </w:r>
    </w:p>
    <w:p>
      <w:pPr>
        <w:spacing w:line="54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（4）重点建设任务</w:t>
      </w:r>
    </w:p>
    <w:p>
      <w:pPr>
        <w:spacing w:line="540" w:lineRule="exact"/>
        <w:ind w:firstLine="562" w:firstLineChars="200"/>
        <w:rPr>
          <w:rFonts w:ascii="仿宋" w:hAnsi="仿宋" w:eastAsia="仿宋" w:cs="仿宋"/>
          <w:b/>
          <w:sz w:val="28"/>
          <w:szCs w:val="28"/>
        </w:rPr>
      </w:pPr>
      <w:r>
        <w:rPr>
          <w:rFonts w:ascii="仿宋" w:hAnsi="仿宋" w:eastAsia="仿宋" w:cs="仿宋"/>
          <w:b/>
          <w:sz w:val="28"/>
          <w:szCs w:val="28"/>
        </w:rPr>
        <w:fldChar w:fldCharType="begin"/>
      </w:r>
      <w:r>
        <w:rPr>
          <w:rFonts w:ascii="仿宋" w:hAnsi="仿宋" w:eastAsia="仿宋" w:cs="仿宋"/>
          <w:b/>
          <w:sz w:val="28"/>
          <w:szCs w:val="28"/>
        </w:rPr>
        <w:instrText xml:space="preserve"> </w:instrText>
      </w:r>
      <w:r>
        <w:rPr>
          <w:rFonts w:hint="eastAsia" w:ascii="仿宋" w:hAnsi="仿宋" w:eastAsia="仿宋" w:cs="仿宋"/>
          <w:b/>
          <w:sz w:val="28"/>
          <w:szCs w:val="28"/>
        </w:rPr>
        <w:instrText xml:space="preserve">= 1 \* GB3</w:instrText>
      </w:r>
      <w:r>
        <w:rPr>
          <w:rFonts w:ascii="仿宋" w:hAnsi="仿宋" w:eastAsia="仿宋" w:cs="仿宋"/>
          <w:b/>
          <w:sz w:val="28"/>
          <w:szCs w:val="28"/>
        </w:rPr>
        <w:instrText xml:space="preserve"> </w:instrText>
      </w:r>
      <w:r>
        <w:rPr>
          <w:rFonts w:ascii="仿宋" w:hAnsi="仿宋" w:eastAsia="仿宋" w:cs="仿宋"/>
          <w:b/>
          <w:sz w:val="28"/>
          <w:szCs w:val="28"/>
        </w:rPr>
        <w:fldChar w:fldCharType="separate"/>
      </w:r>
      <w:r>
        <w:rPr>
          <w:rFonts w:hint="eastAsia" w:ascii="仿宋" w:hAnsi="仿宋" w:eastAsia="仿宋" w:cs="仿宋"/>
          <w:b/>
          <w:sz w:val="28"/>
          <w:szCs w:val="28"/>
        </w:rPr>
        <w:t>①</w:t>
      </w:r>
      <w:r>
        <w:rPr>
          <w:rFonts w:ascii="仿宋" w:hAnsi="仿宋" w:eastAsia="仿宋" w:cs="仿宋"/>
          <w:b/>
          <w:sz w:val="28"/>
          <w:szCs w:val="28"/>
        </w:rPr>
        <w:fldChar w:fldCharType="end"/>
      </w:r>
      <w:r>
        <w:rPr>
          <w:rFonts w:hint="eastAsia" w:ascii="仿宋" w:hAnsi="仿宋" w:eastAsia="仿宋" w:cs="仿宋"/>
          <w:b/>
          <w:sz w:val="28"/>
          <w:szCs w:val="28"/>
        </w:rPr>
        <w:t xml:space="preserve"> 加强教</w:t>
      </w:r>
      <w:r>
        <w:rPr>
          <w:rFonts w:ascii="仿宋" w:hAnsi="仿宋" w:eastAsia="仿宋" w:cs="仿宋"/>
          <w:b/>
          <w:sz w:val="28"/>
          <w:szCs w:val="28"/>
        </w:rPr>
        <w:t>师下企业实践锻炼建设</w:t>
      </w:r>
    </w:p>
    <w:p>
      <w:pPr>
        <w:spacing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学院按照</w:t>
      </w:r>
      <w:r>
        <w:rPr>
          <w:rFonts w:ascii="仿宋" w:hAnsi="仿宋" w:eastAsia="仿宋" w:cs="仿宋"/>
          <w:bCs/>
          <w:sz w:val="28"/>
          <w:szCs w:val="28"/>
        </w:rPr>
        <w:t>《惠州工程职业学院教师下企业实践办法》</w:t>
      </w:r>
      <w:r>
        <w:rPr>
          <w:rFonts w:hint="eastAsia" w:ascii="仿宋" w:hAnsi="仿宋" w:eastAsia="仿宋" w:cs="仿宋"/>
          <w:bCs/>
          <w:sz w:val="28"/>
          <w:szCs w:val="28"/>
        </w:rPr>
        <w:t>相关</w:t>
      </w:r>
      <w:r>
        <w:rPr>
          <w:rFonts w:ascii="仿宋" w:hAnsi="仿宋" w:eastAsia="仿宋" w:cs="仿宋"/>
          <w:bCs/>
          <w:sz w:val="28"/>
          <w:szCs w:val="28"/>
        </w:rPr>
        <w:t>要求，</w:t>
      </w:r>
      <w:r>
        <w:rPr>
          <w:rFonts w:hint="eastAsia" w:ascii="仿宋" w:hAnsi="仿宋" w:eastAsia="仿宋" w:cs="仿宋"/>
          <w:bCs/>
          <w:sz w:val="28"/>
          <w:szCs w:val="28"/>
        </w:rPr>
        <w:t>各</w:t>
      </w:r>
      <w:r>
        <w:rPr>
          <w:rFonts w:ascii="仿宋" w:hAnsi="仿宋" w:eastAsia="仿宋" w:cs="仿宋"/>
          <w:bCs/>
          <w:sz w:val="28"/>
          <w:szCs w:val="28"/>
        </w:rPr>
        <w:t>二级院系按照相关标准，每年</w:t>
      </w:r>
      <w:r>
        <w:rPr>
          <w:rFonts w:hint="eastAsia" w:ascii="仿宋" w:hAnsi="仿宋" w:eastAsia="仿宋" w:cs="仿宋"/>
          <w:bCs/>
          <w:sz w:val="28"/>
          <w:szCs w:val="28"/>
        </w:rPr>
        <w:t>撰写</w:t>
      </w:r>
      <w:r>
        <w:rPr>
          <w:rFonts w:ascii="仿宋" w:hAnsi="仿宋" w:eastAsia="仿宋" w:cs="仿宋"/>
          <w:bCs/>
          <w:sz w:val="28"/>
          <w:szCs w:val="28"/>
        </w:rPr>
        <w:t>培训计划和培训方案，</w:t>
      </w:r>
      <w:r>
        <w:rPr>
          <w:rFonts w:hint="eastAsia" w:ascii="仿宋" w:hAnsi="仿宋" w:eastAsia="仿宋" w:cs="仿宋"/>
          <w:bCs/>
          <w:sz w:val="28"/>
          <w:szCs w:val="28"/>
        </w:rPr>
        <w:t>实施</w:t>
      </w:r>
      <w:r>
        <w:rPr>
          <w:rFonts w:ascii="仿宋" w:hAnsi="仿宋" w:eastAsia="仿宋" w:cs="仿宋"/>
          <w:bCs/>
          <w:sz w:val="28"/>
          <w:szCs w:val="28"/>
        </w:rPr>
        <w:t>自主申报和集中申报方式，</w:t>
      </w:r>
      <w:r>
        <w:rPr>
          <w:rFonts w:hint="eastAsia" w:ascii="仿宋" w:hAnsi="仿宋" w:eastAsia="仿宋" w:cs="仿宋"/>
          <w:bCs/>
          <w:sz w:val="28"/>
          <w:szCs w:val="28"/>
        </w:rPr>
        <w:t>利用</w:t>
      </w:r>
      <w:r>
        <w:rPr>
          <w:rFonts w:ascii="仿宋" w:hAnsi="仿宋" w:eastAsia="仿宋" w:cs="仿宋"/>
          <w:bCs/>
          <w:sz w:val="28"/>
          <w:szCs w:val="28"/>
        </w:rPr>
        <w:t>寒暑假时间和平时</w:t>
      </w:r>
      <w:r>
        <w:rPr>
          <w:rFonts w:hint="eastAsia" w:ascii="仿宋" w:hAnsi="仿宋" w:eastAsia="仿宋" w:cs="仿宋"/>
          <w:bCs/>
          <w:sz w:val="28"/>
          <w:szCs w:val="28"/>
        </w:rPr>
        <w:t>教学</w:t>
      </w:r>
      <w:r>
        <w:rPr>
          <w:rFonts w:ascii="仿宋" w:hAnsi="仿宋" w:eastAsia="仿宋" w:cs="仿宋"/>
          <w:bCs/>
          <w:sz w:val="28"/>
          <w:szCs w:val="28"/>
        </w:rPr>
        <w:t>之余时间</w:t>
      </w:r>
      <w:r>
        <w:rPr>
          <w:rFonts w:hint="eastAsia" w:ascii="仿宋" w:hAnsi="仿宋" w:eastAsia="仿宋" w:cs="仿宋"/>
          <w:bCs/>
          <w:sz w:val="28"/>
          <w:szCs w:val="28"/>
        </w:rPr>
        <w:t>到</w:t>
      </w:r>
      <w:r>
        <w:rPr>
          <w:rFonts w:ascii="仿宋" w:hAnsi="仿宋" w:eastAsia="仿宋" w:cs="仿宋"/>
          <w:bCs/>
          <w:sz w:val="28"/>
          <w:szCs w:val="28"/>
        </w:rPr>
        <w:t>企业实践</w:t>
      </w:r>
      <w:r>
        <w:rPr>
          <w:rFonts w:hint="eastAsia" w:ascii="仿宋" w:hAnsi="仿宋" w:eastAsia="仿宋" w:cs="仿宋"/>
          <w:bCs/>
          <w:sz w:val="28"/>
          <w:szCs w:val="28"/>
        </w:rPr>
        <w:t>，</w:t>
      </w:r>
      <w:r>
        <w:rPr>
          <w:rFonts w:ascii="仿宋" w:hAnsi="仿宋" w:eastAsia="仿宋" w:cs="仿宋"/>
          <w:bCs/>
          <w:sz w:val="28"/>
          <w:szCs w:val="28"/>
        </w:rPr>
        <w:t>确定下企业的天数数量和实践质量。</w:t>
      </w:r>
    </w:p>
    <w:p>
      <w:pPr>
        <w:spacing w:line="540" w:lineRule="exact"/>
        <w:ind w:firstLine="562" w:firstLineChars="200"/>
        <w:rPr>
          <w:rFonts w:ascii="仿宋" w:hAnsi="仿宋" w:eastAsia="仿宋" w:cs="仿宋"/>
          <w:b/>
          <w:sz w:val="28"/>
          <w:szCs w:val="28"/>
        </w:rPr>
      </w:pPr>
      <w:r>
        <w:rPr>
          <w:rFonts w:ascii="仿宋" w:hAnsi="仿宋" w:eastAsia="仿宋" w:cs="仿宋"/>
          <w:b/>
          <w:sz w:val="28"/>
          <w:szCs w:val="28"/>
        </w:rPr>
        <w:fldChar w:fldCharType="begin"/>
      </w:r>
      <w:r>
        <w:rPr>
          <w:rFonts w:ascii="仿宋" w:hAnsi="仿宋" w:eastAsia="仿宋" w:cs="仿宋"/>
          <w:b/>
          <w:sz w:val="28"/>
          <w:szCs w:val="28"/>
        </w:rPr>
        <w:instrText xml:space="preserve"> </w:instrText>
      </w:r>
      <w:r>
        <w:rPr>
          <w:rFonts w:hint="eastAsia" w:ascii="仿宋" w:hAnsi="仿宋" w:eastAsia="仿宋" w:cs="仿宋"/>
          <w:b/>
          <w:sz w:val="28"/>
          <w:szCs w:val="28"/>
        </w:rPr>
        <w:instrText xml:space="preserve">= 2 \* GB3</w:instrText>
      </w:r>
      <w:r>
        <w:rPr>
          <w:rFonts w:ascii="仿宋" w:hAnsi="仿宋" w:eastAsia="仿宋" w:cs="仿宋"/>
          <w:b/>
          <w:sz w:val="28"/>
          <w:szCs w:val="28"/>
        </w:rPr>
        <w:instrText xml:space="preserve"> </w:instrText>
      </w:r>
      <w:r>
        <w:rPr>
          <w:rFonts w:ascii="仿宋" w:hAnsi="仿宋" w:eastAsia="仿宋" w:cs="仿宋"/>
          <w:b/>
          <w:sz w:val="28"/>
          <w:szCs w:val="28"/>
        </w:rPr>
        <w:fldChar w:fldCharType="separate"/>
      </w:r>
      <w:r>
        <w:rPr>
          <w:rFonts w:hint="eastAsia" w:ascii="仿宋" w:hAnsi="仿宋" w:eastAsia="仿宋" w:cs="仿宋"/>
          <w:b/>
          <w:sz w:val="28"/>
          <w:szCs w:val="28"/>
        </w:rPr>
        <w:t>②</w:t>
      </w:r>
      <w:r>
        <w:rPr>
          <w:rFonts w:ascii="仿宋" w:hAnsi="仿宋" w:eastAsia="仿宋" w:cs="仿宋"/>
          <w:b/>
          <w:sz w:val="28"/>
          <w:szCs w:val="28"/>
        </w:rPr>
        <w:fldChar w:fldCharType="end"/>
      </w:r>
      <w:r>
        <w:rPr>
          <w:rFonts w:hint="eastAsia" w:ascii="仿宋" w:hAnsi="仿宋" w:eastAsia="仿宋" w:cs="仿宋"/>
          <w:b/>
          <w:sz w:val="28"/>
          <w:szCs w:val="28"/>
        </w:rPr>
        <w:t xml:space="preserve"> 夯实</w:t>
      </w:r>
      <w:r>
        <w:rPr>
          <w:rFonts w:ascii="仿宋" w:hAnsi="仿宋" w:eastAsia="仿宋" w:cs="仿宋"/>
          <w:b/>
          <w:sz w:val="28"/>
          <w:szCs w:val="28"/>
        </w:rPr>
        <w:t>教师</w:t>
      </w:r>
      <w:r>
        <w:rPr>
          <w:rFonts w:hint="eastAsia" w:ascii="仿宋" w:hAnsi="仿宋" w:eastAsia="仿宋" w:cs="仿宋"/>
          <w:b/>
          <w:sz w:val="28"/>
          <w:szCs w:val="28"/>
        </w:rPr>
        <w:t>培训实践</w:t>
      </w:r>
      <w:r>
        <w:rPr>
          <w:rFonts w:ascii="仿宋" w:hAnsi="仿宋" w:eastAsia="仿宋" w:cs="仿宋"/>
          <w:b/>
          <w:sz w:val="28"/>
          <w:szCs w:val="28"/>
        </w:rPr>
        <w:t>数量和质量</w:t>
      </w:r>
    </w:p>
    <w:p>
      <w:pPr>
        <w:spacing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学院</w:t>
      </w:r>
      <w:r>
        <w:rPr>
          <w:rFonts w:ascii="仿宋" w:hAnsi="仿宋" w:eastAsia="仿宋" w:cs="仿宋"/>
          <w:bCs/>
          <w:sz w:val="28"/>
          <w:szCs w:val="28"/>
        </w:rPr>
        <w:t>按照</w:t>
      </w:r>
      <w:r>
        <w:rPr>
          <w:rFonts w:hint="eastAsia" w:ascii="仿宋" w:hAnsi="仿宋" w:eastAsia="仿宋" w:cs="仿宋"/>
          <w:bCs/>
          <w:sz w:val="28"/>
          <w:szCs w:val="28"/>
        </w:rPr>
        <w:t>国家</w:t>
      </w:r>
      <w:r>
        <w:rPr>
          <w:rFonts w:ascii="仿宋" w:hAnsi="仿宋" w:eastAsia="仿宋" w:cs="仿宋"/>
          <w:bCs/>
          <w:sz w:val="28"/>
          <w:szCs w:val="28"/>
        </w:rPr>
        <w:t>、省、市</w:t>
      </w:r>
      <w:r>
        <w:rPr>
          <w:rFonts w:hint="eastAsia" w:ascii="仿宋" w:hAnsi="仿宋" w:eastAsia="仿宋" w:cs="仿宋"/>
          <w:bCs/>
          <w:sz w:val="28"/>
          <w:szCs w:val="28"/>
        </w:rPr>
        <w:t>文件</w:t>
      </w:r>
      <w:r>
        <w:rPr>
          <w:rFonts w:ascii="仿宋" w:hAnsi="仿宋" w:eastAsia="仿宋" w:cs="仿宋"/>
          <w:bCs/>
          <w:sz w:val="28"/>
          <w:szCs w:val="28"/>
        </w:rPr>
        <w:t>政策要求，</w:t>
      </w:r>
      <w:r>
        <w:rPr>
          <w:rFonts w:hint="eastAsia" w:ascii="仿宋" w:hAnsi="仿宋" w:eastAsia="仿宋" w:cs="仿宋"/>
          <w:bCs/>
          <w:sz w:val="28"/>
          <w:szCs w:val="28"/>
        </w:rPr>
        <w:t>挂网</w:t>
      </w:r>
      <w:r>
        <w:rPr>
          <w:rFonts w:ascii="仿宋" w:hAnsi="仿宋" w:eastAsia="仿宋" w:cs="仿宋"/>
          <w:bCs/>
          <w:sz w:val="28"/>
          <w:szCs w:val="28"/>
        </w:rPr>
        <w:t>通知</w:t>
      </w:r>
      <w:r>
        <w:rPr>
          <w:rFonts w:hint="eastAsia" w:ascii="仿宋" w:hAnsi="仿宋" w:eastAsia="仿宋" w:cs="仿宋"/>
          <w:bCs/>
          <w:sz w:val="28"/>
          <w:szCs w:val="28"/>
        </w:rPr>
        <w:t>，</w:t>
      </w:r>
      <w:r>
        <w:rPr>
          <w:rFonts w:ascii="仿宋" w:hAnsi="仿宋" w:eastAsia="仿宋" w:cs="仿宋"/>
          <w:bCs/>
          <w:sz w:val="28"/>
          <w:szCs w:val="28"/>
        </w:rPr>
        <w:t>压实二级学院</w:t>
      </w:r>
      <w:r>
        <w:rPr>
          <w:rFonts w:hint="eastAsia" w:ascii="仿宋" w:hAnsi="仿宋" w:eastAsia="仿宋" w:cs="仿宋"/>
          <w:bCs/>
          <w:sz w:val="28"/>
          <w:szCs w:val="28"/>
        </w:rPr>
        <w:t>责任</w:t>
      </w:r>
      <w:r>
        <w:rPr>
          <w:rFonts w:ascii="仿宋" w:hAnsi="仿宋" w:eastAsia="仿宋" w:cs="仿宋"/>
          <w:bCs/>
          <w:sz w:val="28"/>
          <w:szCs w:val="28"/>
        </w:rPr>
        <w:t>，以“应训尽训”的原则</w:t>
      </w:r>
      <w:r>
        <w:rPr>
          <w:rFonts w:hint="eastAsia" w:ascii="仿宋" w:hAnsi="仿宋" w:eastAsia="仿宋" w:cs="仿宋"/>
          <w:bCs/>
          <w:sz w:val="28"/>
          <w:szCs w:val="28"/>
        </w:rPr>
        <w:t>，</w:t>
      </w:r>
      <w:r>
        <w:rPr>
          <w:rFonts w:ascii="仿宋" w:hAnsi="仿宋" w:eastAsia="仿宋" w:cs="仿宋"/>
          <w:bCs/>
          <w:sz w:val="28"/>
          <w:szCs w:val="28"/>
        </w:rPr>
        <w:t>大力倡</w:t>
      </w:r>
      <w:r>
        <w:rPr>
          <w:rFonts w:hint="eastAsia" w:ascii="仿宋" w:hAnsi="仿宋" w:eastAsia="仿宋" w:cs="仿宋"/>
          <w:bCs/>
          <w:sz w:val="28"/>
          <w:szCs w:val="28"/>
        </w:rPr>
        <w:t>导</w:t>
      </w:r>
      <w:r>
        <w:rPr>
          <w:rFonts w:ascii="仿宋" w:hAnsi="仿宋" w:eastAsia="仿宋" w:cs="仿宋"/>
          <w:bCs/>
          <w:sz w:val="28"/>
          <w:szCs w:val="28"/>
        </w:rPr>
        <w:t>和鼓励教师培训，另外，学校</w:t>
      </w:r>
      <w:r>
        <w:rPr>
          <w:rFonts w:hint="eastAsia" w:ascii="仿宋" w:hAnsi="仿宋" w:eastAsia="仿宋" w:cs="仿宋"/>
          <w:bCs/>
          <w:sz w:val="28"/>
          <w:szCs w:val="28"/>
        </w:rPr>
        <w:t>内部</w:t>
      </w:r>
      <w:r>
        <w:rPr>
          <w:rFonts w:ascii="仿宋" w:hAnsi="仿宋" w:eastAsia="仿宋" w:cs="仿宋"/>
          <w:bCs/>
          <w:sz w:val="28"/>
          <w:szCs w:val="28"/>
        </w:rPr>
        <w:t>组织相关</w:t>
      </w:r>
      <w:r>
        <w:rPr>
          <w:rFonts w:hint="eastAsia" w:ascii="仿宋" w:hAnsi="仿宋" w:eastAsia="仿宋" w:cs="仿宋"/>
          <w:bCs/>
          <w:sz w:val="28"/>
          <w:szCs w:val="28"/>
        </w:rPr>
        <w:t>校</w:t>
      </w:r>
      <w:r>
        <w:rPr>
          <w:rFonts w:ascii="仿宋" w:hAnsi="仿宋" w:eastAsia="仿宋" w:cs="仿宋"/>
          <w:bCs/>
          <w:sz w:val="28"/>
          <w:szCs w:val="28"/>
        </w:rPr>
        <w:t>本培训，</w:t>
      </w:r>
      <w:r>
        <w:rPr>
          <w:rFonts w:hint="eastAsia" w:ascii="仿宋" w:hAnsi="仿宋" w:eastAsia="仿宋" w:cs="仿宋"/>
          <w:bCs/>
          <w:sz w:val="28"/>
          <w:szCs w:val="28"/>
        </w:rPr>
        <w:t>着</w:t>
      </w:r>
      <w:r>
        <w:rPr>
          <w:rFonts w:ascii="仿宋" w:hAnsi="仿宋" w:eastAsia="仿宋" w:cs="仿宋"/>
          <w:bCs/>
          <w:sz w:val="28"/>
          <w:szCs w:val="28"/>
        </w:rPr>
        <w:t>力提升教</w:t>
      </w:r>
      <w:r>
        <w:rPr>
          <w:rFonts w:hint="eastAsia" w:ascii="仿宋" w:hAnsi="仿宋" w:eastAsia="仿宋" w:cs="仿宋"/>
          <w:bCs/>
          <w:sz w:val="28"/>
          <w:szCs w:val="28"/>
        </w:rPr>
        <w:t>师</w:t>
      </w:r>
      <w:r>
        <w:rPr>
          <w:rFonts w:ascii="仿宋" w:hAnsi="仿宋" w:eastAsia="仿宋" w:cs="仿宋"/>
          <w:bCs/>
          <w:sz w:val="28"/>
          <w:szCs w:val="28"/>
        </w:rPr>
        <w:t>实践能力。</w:t>
      </w:r>
    </w:p>
    <w:p>
      <w:pPr>
        <w:spacing w:line="540" w:lineRule="exact"/>
        <w:ind w:firstLine="562" w:firstLineChars="200"/>
        <w:rPr>
          <w:rFonts w:ascii="仿宋" w:hAnsi="仿宋" w:eastAsia="仿宋" w:cs="仿宋"/>
          <w:b/>
          <w:sz w:val="28"/>
          <w:szCs w:val="28"/>
        </w:rPr>
      </w:pPr>
      <w:r>
        <w:rPr>
          <w:rFonts w:ascii="仿宋" w:hAnsi="仿宋" w:eastAsia="仿宋" w:cs="仿宋"/>
          <w:b/>
          <w:sz w:val="28"/>
          <w:szCs w:val="28"/>
        </w:rPr>
        <w:fldChar w:fldCharType="begin"/>
      </w:r>
      <w:r>
        <w:rPr>
          <w:rFonts w:ascii="仿宋" w:hAnsi="仿宋" w:eastAsia="仿宋" w:cs="仿宋"/>
          <w:b/>
          <w:sz w:val="28"/>
          <w:szCs w:val="28"/>
        </w:rPr>
        <w:instrText xml:space="preserve"> </w:instrText>
      </w:r>
      <w:r>
        <w:rPr>
          <w:rFonts w:hint="eastAsia" w:ascii="仿宋" w:hAnsi="仿宋" w:eastAsia="仿宋" w:cs="仿宋"/>
          <w:b/>
          <w:sz w:val="28"/>
          <w:szCs w:val="28"/>
        </w:rPr>
        <w:instrText xml:space="preserve">= 3 \* GB3</w:instrText>
      </w:r>
      <w:r>
        <w:rPr>
          <w:rFonts w:ascii="仿宋" w:hAnsi="仿宋" w:eastAsia="仿宋" w:cs="仿宋"/>
          <w:b/>
          <w:sz w:val="28"/>
          <w:szCs w:val="28"/>
        </w:rPr>
        <w:instrText xml:space="preserve"> </w:instrText>
      </w:r>
      <w:r>
        <w:rPr>
          <w:rFonts w:ascii="仿宋" w:hAnsi="仿宋" w:eastAsia="仿宋" w:cs="仿宋"/>
          <w:b/>
          <w:sz w:val="28"/>
          <w:szCs w:val="28"/>
        </w:rPr>
        <w:fldChar w:fldCharType="separate"/>
      </w:r>
      <w:r>
        <w:rPr>
          <w:rFonts w:hint="eastAsia" w:ascii="仿宋" w:hAnsi="仿宋" w:eastAsia="仿宋" w:cs="仿宋"/>
          <w:b/>
          <w:sz w:val="28"/>
          <w:szCs w:val="28"/>
        </w:rPr>
        <w:t>③</w:t>
      </w:r>
      <w:r>
        <w:rPr>
          <w:rFonts w:ascii="仿宋" w:hAnsi="仿宋" w:eastAsia="仿宋" w:cs="仿宋"/>
          <w:b/>
          <w:sz w:val="28"/>
          <w:szCs w:val="28"/>
        </w:rPr>
        <w:fldChar w:fldCharType="end"/>
      </w:r>
      <w:r>
        <w:rPr>
          <w:rFonts w:hint="eastAsia" w:ascii="仿宋" w:hAnsi="仿宋" w:eastAsia="仿宋" w:cs="仿宋"/>
          <w:b/>
          <w:sz w:val="28"/>
          <w:szCs w:val="28"/>
        </w:rPr>
        <w:t xml:space="preserve"> 探索“固定岗”+“流动岗”的用人机制，</w:t>
      </w:r>
      <w:r>
        <w:rPr>
          <w:rFonts w:ascii="仿宋" w:hAnsi="仿宋" w:eastAsia="仿宋" w:cs="仿宋"/>
          <w:b/>
          <w:sz w:val="28"/>
          <w:szCs w:val="28"/>
        </w:rPr>
        <w:t>引进高素质兼职教师</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通过制定《惠州工程职业学院流动岗特聘教师管理办法》完善企业工程技术人员、高技能人才到职业院校担任专兼职教师的相关政策，引进高技能人才和能工巧匠进入职业院校担任专兼职教师100名以上，</w:t>
      </w:r>
      <w:r>
        <w:rPr>
          <w:rFonts w:ascii="仿宋" w:hAnsi="仿宋" w:eastAsia="仿宋" w:cs="仿宋"/>
          <w:sz w:val="28"/>
          <w:szCs w:val="28"/>
        </w:rPr>
        <w:t>使企</w:t>
      </w:r>
      <w:r>
        <w:rPr>
          <w:rFonts w:hint="eastAsia" w:ascii="仿宋" w:hAnsi="仿宋" w:eastAsia="仿宋" w:cs="仿宋"/>
          <w:sz w:val="28"/>
          <w:szCs w:val="28"/>
        </w:rPr>
        <w:t>事</w:t>
      </w:r>
      <w:r>
        <w:rPr>
          <w:rFonts w:ascii="仿宋" w:hAnsi="仿宋" w:eastAsia="仿宋" w:cs="仿宋"/>
          <w:sz w:val="28"/>
          <w:szCs w:val="28"/>
        </w:rPr>
        <w:t>业兼职人员教师课时</w:t>
      </w:r>
      <w:r>
        <w:rPr>
          <w:rFonts w:hint="eastAsia" w:ascii="仿宋" w:hAnsi="仿宋" w:eastAsia="仿宋" w:cs="仿宋"/>
          <w:sz w:val="28"/>
          <w:szCs w:val="28"/>
        </w:rPr>
        <w:t>占比</w:t>
      </w:r>
      <w:r>
        <w:rPr>
          <w:rFonts w:ascii="仿宋" w:hAnsi="仿宋" w:eastAsia="仿宋" w:cs="仿宋"/>
          <w:sz w:val="28"/>
          <w:szCs w:val="28"/>
        </w:rPr>
        <w:t>总课时</w:t>
      </w:r>
      <w:r>
        <w:rPr>
          <w:rFonts w:hint="eastAsia" w:ascii="仿宋" w:hAnsi="仿宋" w:eastAsia="仿宋" w:cs="仿宋"/>
          <w:sz w:val="28"/>
          <w:szCs w:val="28"/>
        </w:rPr>
        <w:t>20%以</w:t>
      </w:r>
      <w:r>
        <w:rPr>
          <w:rFonts w:ascii="仿宋" w:hAnsi="仿宋" w:eastAsia="仿宋" w:cs="仿宋"/>
          <w:sz w:val="28"/>
          <w:szCs w:val="28"/>
        </w:rPr>
        <w:t>上。</w:t>
      </w:r>
    </w:p>
    <w:p>
      <w:pPr>
        <w:spacing w:line="540" w:lineRule="exact"/>
        <w:ind w:firstLine="562" w:firstLineChars="200"/>
        <w:rPr>
          <w:rFonts w:ascii="仿宋" w:hAnsi="仿宋" w:eastAsia="仿宋" w:cs="仿宋"/>
          <w:b/>
          <w:bCs/>
          <w:color w:val="FF0000"/>
          <w:sz w:val="28"/>
          <w:szCs w:val="28"/>
        </w:rPr>
      </w:pPr>
      <w:r>
        <w:rPr>
          <w:rFonts w:hint="eastAsia" w:ascii="仿宋" w:hAnsi="仿宋" w:eastAsia="仿宋" w:cs="仿宋"/>
          <w:b/>
          <w:bCs/>
          <w:sz w:val="28"/>
          <w:szCs w:val="28"/>
        </w:rPr>
        <w:t>（5）建设计划</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3363"/>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lang w:eastAsia="en-US"/>
              </w:rPr>
            </w:pPr>
            <w:r>
              <w:rPr>
                <w:rFonts w:hint="eastAsia" w:ascii="仿宋" w:hAnsi="仿宋" w:eastAsia="仿宋" w:cs="仿宋"/>
                <w:b/>
                <w:bCs/>
                <w:color w:val="000000"/>
                <w:kern w:val="0"/>
                <w:szCs w:val="21"/>
                <w:lang w:eastAsia="en-US"/>
              </w:rPr>
              <w:t>年度</w:t>
            </w:r>
          </w:p>
        </w:tc>
        <w:tc>
          <w:tcPr>
            <w:tcW w:w="1704" w:type="dxa"/>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lang w:eastAsia="en-US"/>
              </w:rPr>
            </w:pPr>
            <w:r>
              <w:rPr>
                <w:rFonts w:hint="eastAsia" w:ascii="仿宋" w:hAnsi="仿宋" w:eastAsia="仿宋" w:cs="仿宋"/>
                <w:b/>
                <w:bCs/>
                <w:color w:val="000000"/>
                <w:kern w:val="0"/>
                <w:szCs w:val="21"/>
                <w:lang w:eastAsia="en-US"/>
              </w:rPr>
              <w:t>建设任务</w:t>
            </w:r>
          </w:p>
        </w:tc>
        <w:tc>
          <w:tcPr>
            <w:tcW w:w="3363" w:type="dxa"/>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lang w:eastAsia="en-US"/>
              </w:rPr>
            </w:pPr>
            <w:r>
              <w:rPr>
                <w:rFonts w:hint="eastAsia" w:ascii="仿宋" w:hAnsi="仿宋" w:eastAsia="仿宋" w:cs="仿宋"/>
                <w:b/>
                <w:bCs/>
                <w:color w:val="000000"/>
                <w:kern w:val="0"/>
                <w:szCs w:val="21"/>
                <w:lang w:eastAsia="en-US"/>
              </w:rPr>
              <w:t>建设内容</w:t>
            </w:r>
          </w:p>
        </w:tc>
        <w:tc>
          <w:tcPr>
            <w:tcW w:w="1559" w:type="dxa"/>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lang w:eastAsia="en-US"/>
              </w:rPr>
            </w:pPr>
            <w:r>
              <w:rPr>
                <w:rFonts w:hint="eastAsia" w:ascii="仿宋" w:hAnsi="仿宋" w:eastAsia="仿宋" w:cs="仿宋"/>
                <w:b/>
                <w:bCs/>
                <w:color w:val="000000"/>
                <w:kern w:val="0"/>
                <w:szCs w:val="21"/>
                <w:lang w:eastAsia="en-US"/>
              </w:rPr>
              <w:t>负责部门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restart"/>
            <w:vAlign w:val="center"/>
          </w:tcPr>
          <w:p>
            <w:pPr>
              <w:jc w:val="center"/>
              <w:rPr>
                <w:rFonts w:ascii="仿宋" w:hAnsi="仿宋" w:eastAsia="仿宋" w:cs="仿宋"/>
                <w:b/>
                <w:szCs w:val="21"/>
              </w:rPr>
            </w:pPr>
            <w:r>
              <w:rPr>
                <w:rFonts w:hint="eastAsia" w:ascii="仿宋" w:hAnsi="仿宋" w:eastAsia="仿宋" w:cs="仿宋"/>
                <w:b/>
                <w:szCs w:val="21"/>
              </w:rPr>
              <w:t>2023</w:t>
            </w:r>
          </w:p>
        </w:tc>
        <w:tc>
          <w:tcPr>
            <w:tcW w:w="1704" w:type="dxa"/>
            <w:vAlign w:val="center"/>
          </w:tcPr>
          <w:p>
            <w:pPr>
              <w:jc w:val="center"/>
              <w:rPr>
                <w:rFonts w:ascii="仿宋" w:hAnsi="仿宋" w:eastAsia="仿宋" w:cs="仿宋"/>
                <w:bCs/>
                <w:szCs w:val="21"/>
              </w:rPr>
            </w:pPr>
            <w:r>
              <w:rPr>
                <w:rFonts w:hint="eastAsia" w:ascii="仿宋" w:hAnsi="仿宋" w:eastAsia="仿宋" w:cs="仿宋"/>
                <w:bCs/>
                <w:szCs w:val="21"/>
              </w:rPr>
              <w:t>加强教师下企业实践锻炼建设</w:t>
            </w:r>
          </w:p>
        </w:tc>
        <w:tc>
          <w:tcPr>
            <w:tcW w:w="3363" w:type="dxa"/>
            <w:vAlign w:val="center"/>
          </w:tcPr>
          <w:p>
            <w:pPr>
              <w:jc w:val="center"/>
              <w:rPr>
                <w:rFonts w:ascii="仿宋" w:hAnsi="仿宋" w:eastAsia="仿宋" w:cs="仿宋"/>
                <w:bCs/>
                <w:szCs w:val="21"/>
              </w:rPr>
            </w:pPr>
            <w:r>
              <w:rPr>
                <w:rFonts w:hint="eastAsia" w:ascii="仿宋" w:hAnsi="仿宋" w:eastAsia="仿宋" w:cs="仿宋"/>
                <w:bCs/>
                <w:szCs w:val="21"/>
              </w:rPr>
              <w:t>每年撰写培训计划和培训方案，实施自主申报和集中申报方式，利用寒暑假时间和平时教学之余时间到企业实践</w:t>
            </w:r>
          </w:p>
        </w:tc>
        <w:tc>
          <w:tcPr>
            <w:tcW w:w="1559" w:type="dxa"/>
            <w:vAlign w:val="center"/>
          </w:tcPr>
          <w:p>
            <w:pPr>
              <w:jc w:val="center"/>
              <w:rPr>
                <w:rFonts w:ascii="仿宋" w:hAnsi="仿宋" w:eastAsia="仿宋" w:cs="仿宋"/>
                <w:bCs/>
                <w:szCs w:val="21"/>
              </w:rPr>
            </w:pPr>
            <w:r>
              <w:rPr>
                <w:rFonts w:hint="eastAsia" w:ascii="仿宋" w:hAnsi="仿宋" w:eastAsia="仿宋" w:cs="仿宋"/>
                <w:bCs/>
                <w:szCs w:val="21"/>
              </w:rPr>
              <w:t>人</w:t>
            </w:r>
            <w:r>
              <w:rPr>
                <w:rFonts w:ascii="仿宋" w:hAnsi="仿宋" w:eastAsia="仿宋" w:cs="仿宋"/>
                <w:bCs/>
                <w:szCs w:val="21"/>
              </w:rPr>
              <w:t>事处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continue"/>
            <w:vAlign w:val="center"/>
          </w:tcPr>
          <w:p>
            <w:pPr>
              <w:jc w:val="center"/>
              <w:rPr>
                <w:rFonts w:ascii="仿宋" w:hAnsi="仿宋" w:eastAsia="仿宋" w:cs="仿宋"/>
                <w:b/>
                <w:szCs w:val="21"/>
              </w:rPr>
            </w:pPr>
          </w:p>
        </w:tc>
        <w:tc>
          <w:tcPr>
            <w:tcW w:w="1704" w:type="dxa"/>
            <w:vAlign w:val="center"/>
          </w:tcPr>
          <w:p>
            <w:pPr>
              <w:jc w:val="center"/>
              <w:rPr>
                <w:rFonts w:ascii="仿宋" w:hAnsi="仿宋" w:eastAsia="仿宋" w:cs="仿宋"/>
                <w:bCs/>
                <w:szCs w:val="21"/>
              </w:rPr>
            </w:pPr>
            <w:r>
              <w:rPr>
                <w:rFonts w:hint="eastAsia" w:ascii="仿宋" w:hAnsi="仿宋" w:eastAsia="仿宋" w:cs="仿宋"/>
                <w:bCs/>
                <w:szCs w:val="21"/>
              </w:rPr>
              <w:t>夯实教师培训实践数量和质量</w:t>
            </w:r>
          </w:p>
        </w:tc>
        <w:tc>
          <w:tcPr>
            <w:tcW w:w="3363" w:type="dxa"/>
            <w:vAlign w:val="center"/>
          </w:tcPr>
          <w:p>
            <w:pPr>
              <w:jc w:val="center"/>
              <w:rPr>
                <w:rFonts w:ascii="仿宋" w:hAnsi="仿宋" w:eastAsia="仿宋" w:cs="仿宋"/>
                <w:bCs/>
                <w:szCs w:val="21"/>
              </w:rPr>
            </w:pPr>
            <w:r>
              <w:rPr>
                <w:rFonts w:hint="eastAsia" w:ascii="仿宋" w:hAnsi="仿宋" w:eastAsia="仿宋" w:cs="仿宋"/>
                <w:bCs/>
                <w:szCs w:val="21"/>
              </w:rPr>
              <w:t>大力推进</w:t>
            </w:r>
            <w:r>
              <w:rPr>
                <w:rFonts w:ascii="仿宋" w:hAnsi="仿宋" w:eastAsia="仿宋" w:cs="仿宋"/>
                <w:bCs/>
                <w:szCs w:val="21"/>
              </w:rPr>
              <w:t>国</w:t>
            </w:r>
            <w:r>
              <w:rPr>
                <w:rFonts w:hint="eastAsia" w:ascii="仿宋" w:hAnsi="仿宋" w:eastAsia="仿宋" w:cs="仿宋"/>
                <w:bCs/>
                <w:szCs w:val="21"/>
              </w:rPr>
              <w:t>培</w:t>
            </w:r>
            <w:r>
              <w:rPr>
                <w:rFonts w:ascii="仿宋" w:hAnsi="仿宋" w:eastAsia="仿宋" w:cs="仿宋"/>
                <w:bCs/>
                <w:szCs w:val="21"/>
              </w:rPr>
              <w:t>、省培、市</w:t>
            </w:r>
            <w:r>
              <w:rPr>
                <w:rFonts w:hint="eastAsia" w:ascii="仿宋" w:hAnsi="仿宋" w:eastAsia="仿宋" w:cs="仿宋"/>
                <w:bCs/>
                <w:szCs w:val="21"/>
              </w:rPr>
              <w:t>培</w:t>
            </w:r>
            <w:r>
              <w:rPr>
                <w:rFonts w:ascii="仿宋" w:hAnsi="仿宋" w:eastAsia="仿宋" w:cs="仿宋"/>
                <w:bCs/>
                <w:szCs w:val="21"/>
              </w:rPr>
              <w:t>和校本培训</w:t>
            </w:r>
            <w:r>
              <w:rPr>
                <w:rFonts w:hint="eastAsia" w:ascii="仿宋" w:hAnsi="仿宋" w:eastAsia="仿宋" w:cs="仿宋"/>
                <w:bCs/>
                <w:szCs w:val="21"/>
              </w:rPr>
              <w:t>，</w:t>
            </w:r>
            <w:r>
              <w:rPr>
                <w:rFonts w:ascii="仿宋" w:hAnsi="仿宋" w:eastAsia="仿宋" w:cs="仿宋"/>
                <w:bCs/>
                <w:szCs w:val="21"/>
              </w:rPr>
              <w:t>着力提升</w:t>
            </w:r>
            <w:r>
              <w:rPr>
                <w:rFonts w:hint="eastAsia" w:ascii="仿宋" w:hAnsi="仿宋" w:eastAsia="仿宋" w:cs="仿宋"/>
                <w:bCs/>
                <w:szCs w:val="21"/>
              </w:rPr>
              <w:t>培训</w:t>
            </w:r>
            <w:r>
              <w:rPr>
                <w:rFonts w:ascii="仿宋" w:hAnsi="仿宋" w:eastAsia="仿宋" w:cs="仿宋"/>
                <w:bCs/>
                <w:szCs w:val="21"/>
              </w:rPr>
              <w:t>质量</w:t>
            </w:r>
          </w:p>
        </w:tc>
        <w:tc>
          <w:tcPr>
            <w:tcW w:w="1559" w:type="dxa"/>
            <w:vAlign w:val="center"/>
          </w:tcPr>
          <w:p>
            <w:pPr>
              <w:jc w:val="center"/>
              <w:rPr>
                <w:rFonts w:ascii="仿宋" w:hAnsi="仿宋" w:eastAsia="仿宋" w:cs="仿宋"/>
                <w:bCs/>
                <w:szCs w:val="21"/>
              </w:rPr>
            </w:pPr>
            <w:r>
              <w:rPr>
                <w:rFonts w:hint="eastAsia" w:ascii="仿宋" w:hAnsi="仿宋" w:eastAsia="仿宋" w:cs="仿宋"/>
                <w:bCs/>
                <w:szCs w:val="21"/>
              </w:rPr>
              <w:t>人</w:t>
            </w:r>
            <w:r>
              <w:rPr>
                <w:rFonts w:ascii="仿宋" w:hAnsi="仿宋" w:eastAsia="仿宋" w:cs="仿宋"/>
                <w:bCs/>
                <w:szCs w:val="21"/>
              </w:rPr>
              <w:t>事处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continue"/>
            <w:vAlign w:val="center"/>
          </w:tcPr>
          <w:p>
            <w:pPr>
              <w:jc w:val="center"/>
              <w:rPr>
                <w:rFonts w:ascii="仿宋" w:hAnsi="仿宋" w:eastAsia="仿宋" w:cs="仿宋"/>
                <w:b/>
                <w:szCs w:val="21"/>
              </w:rPr>
            </w:pPr>
          </w:p>
        </w:tc>
        <w:tc>
          <w:tcPr>
            <w:tcW w:w="1704" w:type="dxa"/>
            <w:vAlign w:val="center"/>
          </w:tcPr>
          <w:p>
            <w:pPr>
              <w:jc w:val="center"/>
              <w:rPr>
                <w:rFonts w:ascii="仿宋" w:hAnsi="仿宋" w:eastAsia="仿宋" w:cs="仿宋"/>
                <w:bCs/>
                <w:szCs w:val="21"/>
              </w:rPr>
            </w:pPr>
            <w:r>
              <w:rPr>
                <w:rFonts w:hint="eastAsia" w:ascii="仿宋" w:hAnsi="仿宋" w:eastAsia="仿宋" w:cs="仿宋"/>
                <w:bCs/>
                <w:szCs w:val="21"/>
              </w:rPr>
              <w:t>探索“固定岗”+“流动岗”的用人机制，引进高素质兼职教师</w:t>
            </w:r>
          </w:p>
        </w:tc>
        <w:tc>
          <w:tcPr>
            <w:tcW w:w="3363" w:type="dxa"/>
            <w:vAlign w:val="center"/>
          </w:tcPr>
          <w:p>
            <w:pPr>
              <w:jc w:val="center"/>
              <w:rPr>
                <w:rFonts w:ascii="仿宋" w:hAnsi="仿宋" w:eastAsia="仿宋" w:cs="仿宋"/>
                <w:bCs/>
                <w:szCs w:val="21"/>
              </w:rPr>
            </w:pPr>
            <w:r>
              <w:rPr>
                <w:rFonts w:hint="eastAsia" w:ascii="仿宋" w:hAnsi="仿宋" w:eastAsia="仿宋" w:cs="仿宋"/>
                <w:bCs/>
                <w:szCs w:val="21"/>
              </w:rPr>
              <w:t>通过</w:t>
            </w:r>
            <w:r>
              <w:rPr>
                <w:rFonts w:ascii="仿宋" w:hAnsi="仿宋" w:eastAsia="仿宋" w:cs="仿宋"/>
                <w:bCs/>
                <w:szCs w:val="21"/>
              </w:rPr>
              <w:t>制度建设</w:t>
            </w:r>
            <w:r>
              <w:rPr>
                <w:rFonts w:hint="eastAsia" w:ascii="仿宋" w:hAnsi="仿宋" w:eastAsia="仿宋" w:cs="仿宋"/>
                <w:bCs/>
                <w:szCs w:val="21"/>
              </w:rPr>
              <w:t>完善企业工程技术人员、高技能人才到职业院校担任专兼职教师的相关政策，引进高技能人才和能工巧匠进入职业院校担任专兼职教师30名以上</w:t>
            </w:r>
          </w:p>
        </w:tc>
        <w:tc>
          <w:tcPr>
            <w:tcW w:w="1559" w:type="dxa"/>
            <w:vAlign w:val="center"/>
          </w:tcPr>
          <w:p>
            <w:pPr>
              <w:jc w:val="center"/>
              <w:rPr>
                <w:rFonts w:ascii="仿宋" w:hAnsi="仿宋" w:eastAsia="仿宋" w:cs="仿宋"/>
                <w:bCs/>
                <w:szCs w:val="21"/>
              </w:rPr>
            </w:pPr>
            <w:r>
              <w:rPr>
                <w:rFonts w:hint="eastAsia" w:ascii="仿宋" w:hAnsi="仿宋" w:eastAsia="仿宋" w:cs="仿宋"/>
                <w:bCs/>
                <w:szCs w:val="21"/>
              </w:rPr>
              <w:t>人</w:t>
            </w:r>
            <w:r>
              <w:rPr>
                <w:rFonts w:ascii="仿宋" w:hAnsi="仿宋" w:eastAsia="仿宋" w:cs="仿宋"/>
                <w:bCs/>
                <w:szCs w:val="21"/>
              </w:rPr>
              <w:t>事处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restart"/>
            <w:vAlign w:val="center"/>
          </w:tcPr>
          <w:p>
            <w:pPr>
              <w:jc w:val="center"/>
              <w:rPr>
                <w:rFonts w:ascii="仿宋" w:hAnsi="仿宋" w:eastAsia="仿宋" w:cs="仿宋"/>
                <w:b/>
                <w:szCs w:val="21"/>
              </w:rPr>
            </w:pPr>
            <w:r>
              <w:rPr>
                <w:rFonts w:hint="eastAsia" w:ascii="仿宋" w:hAnsi="仿宋" w:eastAsia="仿宋" w:cs="仿宋"/>
                <w:b/>
                <w:szCs w:val="21"/>
              </w:rPr>
              <w:t>2024</w:t>
            </w:r>
          </w:p>
        </w:tc>
        <w:tc>
          <w:tcPr>
            <w:tcW w:w="1704" w:type="dxa"/>
            <w:vAlign w:val="center"/>
          </w:tcPr>
          <w:p>
            <w:pPr>
              <w:jc w:val="center"/>
              <w:rPr>
                <w:rFonts w:ascii="仿宋" w:hAnsi="仿宋" w:eastAsia="仿宋" w:cs="仿宋"/>
                <w:bCs/>
                <w:szCs w:val="21"/>
              </w:rPr>
            </w:pPr>
            <w:r>
              <w:rPr>
                <w:rFonts w:hint="eastAsia" w:ascii="仿宋" w:hAnsi="仿宋" w:eastAsia="仿宋" w:cs="仿宋"/>
                <w:bCs/>
                <w:szCs w:val="21"/>
              </w:rPr>
              <w:t>加强教师下企业实践锻炼建设</w:t>
            </w:r>
          </w:p>
        </w:tc>
        <w:tc>
          <w:tcPr>
            <w:tcW w:w="3363" w:type="dxa"/>
            <w:vAlign w:val="center"/>
          </w:tcPr>
          <w:p>
            <w:pPr>
              <w:jc w:val="center"/>
              <w:rPr>
                <w:rFonts w:ascii="仿宋" w:hAnsi="仿宋" w:eastAsia="仿宋" w:cs="仿宋"/>
                <w:bCs/>
                <w:szCs w:val="21"/>
              </w:rPr>
            </w:pPr>
            <w:r>
              <w:rPr>
                <w:rFonts w:hint="eastAsia" w:ascii="仿宋" w:hAnsi="仿宋" w:eastAsia="仿宋" w:cs="仿宋"/>
                <w:bCs/>
                <w:szCs w:val="21"/>
              </w:rPr>
              <w:t>每年撰写培训计划和培训方案，实施自主申报和集中申报方式，利用寒暑假时间和平时教学之余时间到企业实践</w:t>
            </w:r>
          </w:p>
        </w:tc>
        <w:tc>
          <w:tcPr>
            <w:tcW w:w="1559" w:type="dxa"/>
            <w:vAlign w:val="center"/>
          </w:tcPr>
          <w:p>
            <w:pPr>
              <w:jc w:val="center"/>
              <w:rPr>
                <w:rFonts w:ascii="仿宋" w:hAnsi="仿宋" w:eastAsia="仿宋" w:cs="仿宋"/>
                <w:bCs/>
                <w:szCs w:val="21"/>
              </w:rPr>
            </w:pPr>
            <w:r>
              <w:rPr>
                <w:rFonts w:hint="eastAsia" w:ascii="仿宋" w:hAnsi="仿宋" w:eastAsia="仿宋" w:cs="仿宋"/>
                <w:bCs/>
                <w:szCs w:val="21"/>
              </w:rPr>
              <w:t>人</w:t>
            </w:r>
            <w:r>
              <w:rPr>
                <w:rFonts w:ascii="仿宋" w:hAnsi="仿宋" w:eastAsia="仿宋" w:cs="仿宋"/>
                <w:bCs/>
                <w:szCs w:val="21"/>
              </w:rPr>
              <w:t>事处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continue"/>
            <w:vAlign w:val="center"/>
          </w:tcPr>
          <w:p>
            <w:pPr>
              <w:jc w:val="center"/>
              <w:rPr>
                <w:rFonts w:ascii="仿宋" w:hAnsi="仿宋" w:eastAsia="仿宋" w:cs="仿宋"/>
                <w:b/>
                <w:szCs w:val="21"/>
              </w:rPr>
            </w:pPr>
          </w:p>
        </w:tc>
        <w:tc>
          <w:tcPr>
            <w:tcW w:w="1704" w:type="dxa"/>
            <w:vAlign w:val="center"/>
          </w:tcPr>
          <w:p>
            <w:pPr>
              <w:jc w:val="center"/>
              <w:rPr>
                <w:rFonts w:ascii="仿宋" w:hAnsi="仿宋" w:eastAsia="仿宋" w:cs="仿宋"/>
                <w:bCs/>
                <w:szCs w:val="21"/>
              </w:rPr>
            </w:pPr>
            <w:r>
              <w:rPr>
                <w:rFonts w:hint="eastAsia" w:ascii="仿宋" w:hAnsi="仿宋" w:eastAsia="仿宋" w:cs="仿宋"/>
                <w:bCs/>
                <w:szCs w:val="21"/>
              </w:rPr>
              <w:t>夯实教师培训实践数量和质量</w:t>
            </w:r>
          </w:p>
        </w:tc>
        <w:tc>
          <w:tcPr>
            <w:tcW w:w="3363" w:type="dxa"/>
            <w:vAlign w:val="center"/>
          </w:tcPr>
          <w:p>
            <w:pPr>
              <w:jc w:val="center"/>
              <w:rPr>
                <w:rFonts w:ascii="仿宋" w:hAnsi="仿宋" w:eastAsia="仿宋" w:cs="仿宋"/>
                <w:bCs/>
                <w:szCs w:val="21"/>
              </w:rPr>
            </w:pPr>
            <w:r>
              <w:rPr>
                <w:rFonts w:hint="eastAsia" w:ascii="仿宋" w:hAnsi="仿宋" w:eastAsia="仿宋" w:cs="仿宋"/>
                <w:bCs/>
                <w:szCs w:val="21"/>
              </w:rPr>
              <w:t>大力推进国培、省培、市培和校本培训，着力提升培训质量</w:t>
            </w:r>
          </w:p>
        </w:tc>
        <w:tc>
          <w:tcPr>
            <w:tcW w:w="1559" w:type="dxa"/>
            <w:vAlign w:val="center"/>
          </w:tcPr>
          <w:p>
            <w:pPr>
              <w:jc w:val="center"/>
              <w:rPr>
                <w:rFonts w:ascii="仿宋" w:hAnsi="仿宋" w:eastAsia="仿宋" w:cs="仿宋"/>
                <w:bCs/>
                <w:szCs w:val="21"/>
              </w:rPr>
            </w:pPr>
            <w:r>
              <w:rPr>
                <w:rFonts w:hint="eastAsia" w:ascii="仿宋" w:hAnsi="仿宋" w:eastAsia="仿宋" w:cs="仿宋"/>
                <w:bCs/>
                <w:szCs w:val="21"/>
              </w:rPr>
              <w:t>人事处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continue"/>
            <w:vAlign w:val="center"/>
          </w:tcPr>
          <w:p>
            <w:pPr>
              <w:jc w:val="center"/>
              <w:rPr>
                <w:rFonts w:ascii="仿宋" w:hAnsi="仿宋" w:eastAsia="仿宋" w:cs="仿宋"/>
                <w:b/>
                <w:szCs w:val="21"/>
              </w:rPr>
            </w:pPr>
          </w:p>
        </w:tc>
        <w:tc>
          <w:tcPr>
            <w:tcW w:w="1704" w:type="dxa"/>
            <w:vAlign w:val="center"/>
          </w:tcPr>
          <w:p>
            <w:pPr>
              <w:jc w:val="center"/>
              <w:rPr>
                <w:rFonts w:ascii="仿宋" w:hAnsi="仿宋" w:eastAsia="仿宋" w:cs="仿宋"/>
                <w:bCs/>
                <w:szCs w:val="21"/>
              </w:rPr>
            </w:pPr>
            <w:r>
              <w:rPr>
                <w:rFonts w:hint="eastAsia" w:ascii="仿宋" w:hAnsi="仿宋" w:eastAsia="仿宋" w:cs="仿宋"/>
                <w:bCs/>
                <w:szCs w:val="21"/>
              </w:rPr>
              <w:t>探索“固定岗”+“流动岗”的用人机制，引进高素质兼职教师</w:t>
            </w:r>
          </w:p>
        </w:tc>
        <w:tc>
          <w:tcPr>
            <w:tcW w:w="3363" w:type="dxa"/>
            <w:vAlign w:val="center"/>
          </w:tcPr>
          <w:p>
            <w:pPr>
              <w:jc w:val="center"/>
              <w:rPr>
                <w:rFonts w:ascii="仿宋" w:hAnsi="仿宋" w:eastAsia="仿宋" w:cs="仿宋"/>
                <w:bCs/>
                <w:szCs w:val="21"/>
              </w:rPr>
            </w:pPr>
            <w:r>
              <w:rPr>
                <w:rFonts w:hint="eastAsia" w:ascii="仿宋" w:hAnsi="仿宋" w:eastAsia="仿宋" w:cs="仿宋"/>
                <w:bCs/>
                <w:szCs w:val="21"/>
              </w:rPr>
              <w:t>通过制度建设完善企业工程技术人员、高技能人才到职业院校担任专兼职教师的相关政策，引进高技能人才和能工巧匠进入职业院校担任专兼职教师40名以上</w:t>
            </w:r>
          </w:p>
        </w:tc>
        <w:tc>
          <w:tcPr>
            <w:tcW w:w="1559" w:type="dxa"/>
            <w:vAlign w:val="center"/>
          </w:tcPr>
          <w:p>
            <w:pPr>
              <w:jc w:val="center"/>
              <w:rPr>
                <w:rFonts w:ascii="仿宋" w:hAnsi="仿宋" w:eastAsia="仿宋" w:cs="仿宋"/>
                <w:bCs/>
                <w:szCs w:val="21"/>
              </w:rPr>
            </w:pPr>
            <w:r>
              <w:rPr>
                <w:rFonts w:hint="eastAsia" w:ascii="仿宋" w:hAnsi="仿宋" w:eastAsia="仿宋" w:cs="仿宋"/>
                <w:bCs/>
                <w:szCs w:val="21"/>
              </w:rPr>
              <w:t>人事处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restart"/>
            <w:vAlign w:val="center"/>
          </w:tcPr>
          <w:p>
            <w:pPr>
              <w:jc w:val="center"/>
              <w:rPr>
                <w:rFonts w:ascii="仿宋" w:hAnsi="仿宋" w:eastAsia="仿宋" w:cs="仿宋"/>
                <w:b/>
                <w:szCs w:val="21"/>
              </w:rPr>
            </w:pPr>
            <w:r>
              <w:rPr>
                <w:rFonts w:hint="eastAsia" w:ascii="仿宋" w:hAnsi="仿宋" w:eastAsia="仿宋" w:cs="仿宋"/>
                <w:b/>
                <w:szCs w:val="21"/>
              </w:rPr>
              <w:t>2025</w:t>
            </w:r>
          </w:p>
        </w:tc>
        <w:tc>
          <w:tcPr>
            <w:tcW w:w="1704" w:type="dxa"/>
            <w:vAlign w:val="center"/>
          </w:tcPr>
          <w:p>
            <w:pPr>
              <w:jc w:val="center"/>
              <w:rPr>
                <w:rFonts w:ascii="仿宋" w:hAnsi="仿宋" w:eastAsia="仿宋" w:cs="仿宋"/>
                <w:bCs/>
                <w:szCs w:val="21"/>
              </w:rPr>
            </w:pPr>
            <w:r>
              <w:rPr>
                <w:rFonts w:hint="eastAsia" w:ascii="仿宋" w:hAnsi="仿宋" w:eastAsia="仿宋" w:cs="仿宋"/>
                <w:bCs/>
                <w:szCs w:val="21"/>
              </w:rPr>
              <w:t>加强教师下企业实践锻炼建设</w:t>
            </w:r>
          </w:p>
        </w:tc>
        <w:tc>
          <w:tcPr>
            <w:tcW w:w="3363" w:type="dxa"/>
            <w:vAlign w:val="center"/>
          </w:tcPr>
          <w:p>
            <w:pPr>
              <w:jc w:val="center"/>
              <w:rPr>
                <w:rFonts w:ascii="仿宋" w:hAnsi="仿宋" w:eastAsia="仿宋" w:cs="仿宋"/>
                <w:bCs/>
                <w:szCs w:val="21"/>
              </w:rPr>
            </w:pPr>
            <w:r>
              <w:rPr>
                <w:rFonts w:hint="eastAsia" w:ascii="仿宋" w:hAnsi="仿宋" w:eastAsia="仿宋" w:cs="仿宋"/>
                <w:bCs/>
                <w:szCs w:val="21"/>
              </w:rPr>
              <w:t>每年撰写培训计划和培训方案，实施自主申报和集中申报方式，利用寒暑假时间和平时教学之余时间到企业实践</w:t>
            </w:r>
          </w:p>
        </w:tc>
        <w:tc>
          <w:tcPr>
            <w:tcW w:w="1559" w:type="dxa"/>
            <w:vAlign w:val="center"/>
          </w:tcPr>
          <w:p>
            <w:pPr>
              <w:jc w:val="center"/>
              <w:rPr>
                <w:rFonts w:ascii="仿宋" w:hAnsi="仿宋" w:eastAsia="仿宋" w:cs="仿宋"/>
                <w:bCs/>
                <w:szCs w:val="21"/>
              </w:rPr>
            </w:pPr>
            <w:r>
              <w:rPr>
                <w:rFonts w:hint="eastAsia" w:ascii="仿宋" w:hAnsi="仿宋" w:eastAsia="仿宋" w:cs="仿宋"/>
                <w:bCs/>
                <w:szCs w:val="21"/>
              </w:rPr>
              <w:t>人事处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continue"/>
            <w:vAlign w:val="center"/>
          </w:tcPr>
          <w:p>
            <w:pPr>
              <w:jc w:val="center"/>
              <w:rPr>
                <w:rFonts w:ascii="仿宋" w:hAnsi="仿宋" w:eastAsia="仿宋" w:cs="仿宋"/>
                <w:bCs/>
                <w:szCs w:val="21"/>
              </w:rPr>
            </w:pPr>
          </w:p>
        </w:tc>
        <w:tc>
          <w:tcPr>
            <w:tcW w:w="1704" w:type="dxa"/>
            <w:vAlign w:val="center"/>
          </w:tcPr>
          <w:p>
            <w:pPr>
              <w:jc w:val="center"/>
              <w:rPr>
                <w:rFonts w:ascii="仿宋" w:hAnsi="仿宋" w:eastAsia="仿宋" w:cs="仿宋"/>
                <w:bCs/>
                <w:szCs w:val="21"/>
              </w:rPr>
            </w:pPr>
            <w:r>
              <w:rPr>
                <w:rFonts w:hint="eastAsia" w:ascii="仿宋" w:hAnsi="仿宋" w:eastAsia="仿宋" w:cs="仿宋"/>
                <w:bCs/>
                <w:szCs w:val="21"/>
              </w:rPr>
              <w:t>夯实教师培训实践数量和质量</w:t>
            </w:r>
          </w:p>
        </w:tc>
        <w:tc>
          <w:tcPr>
            <w:tcW w:w="3363" w:type="dxa"/>
            <w:vAlign w:val="center"/>
          </w:tcPr>
          <w:p>
            <w:pPr>
              <w:jc w:val="center"/>
              <w:rPr>
                <w:rFonts w:ascii="仿宋" w:hAnsi="仿宋" w:eastAsia="仿宋" w:cs="仿宋"/>
                <w:bCs/>
                <w:szCs w:val="21"/>
              </w:rPr>
            </w:pPr>
            <w:r>
              <w:rPr>
                <w:rFonts w:hint="eastAsia" w:ascii="仿宋" w:hAnsi="仿宋" w:eastAsia="仿宋" w:cs="仿宋"/>
                <w:bCs/>
                <w:szCs w:val="21"/>
              </w:rPr>
              <w:t>大力推进国培、省培、市培和校本培训，着力提升培训质量</w:t>
            </w:r>
          </w:p>
        </w:tc>
        <w:tc>
          <w:tcPr>
            <w:tcW w:w="1559" w:type="dxa"/>
            <w:vAlign w:val="center"/>
          </w:tcPr>
          <w:p>
            <w:pPr>
              <w:jc w:val="center"/>
              <w:rPr>
                <w:rFonts w:ascii="仿宋" w:hAnsi="仿宋" w:eastAsia="仿宋" w:cs="仿宋"/>
                <w:bCs/>
                <w:szCs w:val="21"/>
              </w:rPr>
            </w:pPr>
            <w:r>
              <w:rPr>
                <w:rFonts w:hint="eastAsia" w:ascii="仿宋" w:hAnsi="仿宋" w:eastAsia="仿宋" w:cs="仿宋"/>
                <w:bCs/>
                <w:szCs w:val="21"/>
              </w:rPr>
              <w:t>人事处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continue"/>
            <w:vAlign w:val="center"/>
          </w:tcPr>
          <w:p>
            <w:pPr>
              <w:jc w:val="center"/>
              <w:rPr>
                <w:rFonts w:ascii="仿宋" w:hAnsi="仿宋" w:eastAsia="仿宋" w:cs="仿宋"/>
                <w:bCs/>
                <w:szCs w:val="21"/>
              </w:rPr>
            </w:pPr>
          </w:p>
        </w:tc>
        <w:tc>
          <w:tcPr>
            <w:tcW w:w="1704" w:type="dxa"/>
            <w:vAlign w:val="center"/>
          </w:tcPr>
          <w:p>
            <w:pPr>
              <w:jc w:val="center"/>
              <w:rPr>
                <w:rFonts w:ascii="仿宋" w:hAnsi="仿宋" w:eastAsia="仿宋" w:cs="仿宋"/>
                <w:bCs/>
                <w:szCs w:val="21"/>
              </w:rPr>
            </w:pPr>
            <w:r>
              <w:rPr>
                <w:rFonts w:hint="eastAsia" w:ascii="仿宋" w:hAnsi="仿宋" w:eastAsia="仿宋" w:cs="仿宋"/>
                <w:bCs/>
                <w:szCs w:val="21"/>
              </w:rPr>
              <w:t>探索“固定岗”+“流动岗”的用人机制，引进高素质兼职教师</w:t>
            </w:r>
          </w:p>
        </w:tc>
        <w:tc>
          <w:tcPr>
            <w:tcW w:w="3363" w:type="dxa"/>
            <w:vAlign w:val="center"/>
          </w:tcPr>
          <w:p>
            <w:pPr>
              <w:jc w:val="center"/>
              <w:rPr>
                <w:rFonts w:ascii="仿宋" w:hAnsi="仿宋" w:eastAsia="仿宋" w:cs="仿宋"/>
                <w:bCs/>
                <w:szCs w:val="21"/>
              </w:rPr>
            </w:pPr>
            <w:r>
              <w:rPr>
                <w:rFonts w:hint="eastAsia" w:ascii="仿宋" w:hAnsi="仿宋" w:eastAsia="仿宋" w:cs="仿宋"/>
                <w:bCs/>
                <w:szCs w:val="21"/>
              </w:rPr>
              <w:t>通过制度建设完善企业工程技术人员、高技能人才到职业院校担任专兼职教师的相关政策，引进高技能人才和能工巧匠进入职业院校担任专兼职教师30名以上</w:t>
            </w:r>
          </w:p>
        </w:tc>
        <w:tc>
          <w:tcPr>
            <w:tcW w:w="1559" w:type="dxa"/>
            <w:vAlign w:val="center"/>
          </w:tcPr>
          <w:p>
            <w:pPr>
              <w:jc w:val="center"/>
              <w:rPr>
                <w:rFonts w:ascii="仿宋" w:hAnsi="仿宋" w:eastAsia="仿宋" w:cs="仿宋"/>
                <w:bCs/>
                <w:szCs w:val="21"/>
              </w:rPr>
            </w:pPr>
            <w:r>
              <w:rPr>
                <w:rFonts w:hint="eastAsia" w:ascii="仿宋" w:hAnsi="仿宋" w:eastAsia="仿宋" w:cs="仿宋"/>
                <w:bCs/>
                <w:szCs w:val="21"/>
              </w:rPr>
              <w:t>人事处</w:t>
            </w:r>
          </w:p>
        </w:tc>
      </w:tr>
    </w:tbl>
    <w:p>
      <w:pPr>
        <w:spacing w:line="540" w:lineRule="exact"/>
        <w:ind w:firstLine="562" w:firstLineChars="200"/>
        <w:rPr>
          <w:rFonts w:ascii="仿宋" w:hAnsi="仿宋" w:eastAsia="仿宋"/>
          <w:b/>
          <w:bCs/>
          <w:sz w:val="28"/>
          <w:szCs w:val="28"/>
        </w:rPr>
      </w:pPr>
      <w:r>
        <w:rPr>
          <w:rFonts w:hint="eastAsia" w:ascii="仿宋" w:hAnsi="仿宋" w:eastAsia="仿宋"/>
          <w:b/>
          <w:bCs/>
          <w:sz w:val="28"/>
          <w:szCs w:val="28"/>
        </w:rPr>
        <w:t>（6）预期成效及资金测算</w:t>
      </w:r>
    </w:p>
    <w:tbl>
      <w:tblPr>
        <w:tblStyle w:val="16"/>
        <w:tblW w:w="0" w:type="auto"/>
        <w:jc w:val="center"/>
        <w:tblLayout w:type="autofit"/>
        <w:tblCellMar>
          <w:top w:w="15" w:type="dxa"/>
          <w:left w:w="15" w:type="dxa"/>
          <w:bottom w:w="15" w:type="dxa"/>
          <w:right w:w="15" w:type="dxa"/>
        </w:tblCellMar>
      </w:tblPr>
      <w:tblGrid>
        <w:gridCol w:w="657"/>
        <w:gridCol w:w="2058"/>
        <w:gridCol w:w="4136"/>
        <w:gridCol w:w="495"/>
        <w:gridCol w:w="495"/>
        <w:gridCol w:w="495"/>
      </w:tblGrid>
      <w:tr>
        <w:tblPrEx>
          <w:tblCellMar>
            <w:top w:w="15" w:type="dxa"/>
            <w:left w:w="15" w:type="dxa"/>
            <w:bottom w:w="15" w:type="dxa"/>
            <w:right w:w="15" w:type="dxa"/>
          </w:tblCellMar>
        </w:tblPrEx>
        <w:trPr>
          <w:trHeight w:val="301"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项目名称</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主要建设内容</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预期建设成效</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建设资金安排表（万元）</w:t>
            </w:r>
          </w:p>
        </w:tc>
      </w:tr>
      <w:tr>
        <w:tblPrEx>
          <w:tblCellMar>
            <w:top w:w="15" w:type="dxa"/>
            <w:left w:w="15" w:type="dxa"/>
            <w:bottom w:w="15" w:type="dxa"/>
            <w:right w:w="15" w:type="dxa"/>
          </w:tblCellMar>
        </w:tblPrEx>
        <w:trPr>
          <w:trHeight w:val="286"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jc w:val="center"/>
              <w:rPr>
                <w:rFonts w:ascii="仿宋" w:hAnsi="仿宋" w:eastAsia="仿宋" w:cs="仿宋"/>
                <w:b/>
                <w:bCs/>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jc w:val="center"/>
              <w:rPr>
                <w:rFonts w:ascii="仿宋" w:hAnsi="仿宋" w:eastAsia="仿宋" w:cs="仿宋"/>
                <w:b/>
                <w:bCs/>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jc w:val="center"/>
              <w:rPr>
                <w:rFonts w:ascii="仿宋" w:hAnsi="仿宋" w:eastAsia="仿宋" w:cs="仿宋"/>
                <w:b/>
                <w:bCs/>
                <w:color w:val="000000"/>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kern w:val="0"/>
                <w:szCs w:val="21"/>
                <w:lang w:bidi="ar"/>
              </w:rPr>
            </w:pPr>
            <w:r>
              <w:rPr>
                <w:rFonts w:hint="eastAsia" w:ascii="仿宋" w:hAnsi="仿宋" w:eastAsia="仿宋" w:cs="仿宋"/>
                <w:b/>
                <w:bCs/>
                <w:color w:val="000000"/>
                <w:kern w:val="0"/>
                <w:szCs w:val="21"/>
                <w:lang w:bidi="ar"/>
              </w:rPr>
              <w:t>2023年</w:t>
            </w:r>
          </w:p>
        </w:tc>
        <w:tc>
          <w:tcPr>
            <w:tcW w:w="0" w:type="auto"/>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2024年</w:t>
            </w:r>
          </w:p>
        </w:tc>
        <w:tc>
          <w:tcPr>
            <w:tcW w:w="0" w:type="auto"/>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2025年</w:t>
            </w:r>
          </w:p>
        </w:tc>
      </w:tr>
      <w:tr>
        <w:tblPrEx>
          <w:tblCellMar>
            <w:top w:w="15" w:type="dxa"/>
            <w:left w:w="15" w:type="dxa"/>
            <w:bottom w:w="15" w:type="dxa"/>
            <w:right w:w="15" w:type="dxa"/>
          </w:tblCellMar>
        </w:tblPrEx>
        <w:trPr>
          <w:trHeight w:val="450"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Cs w:val="21"/>
              </w:rPr>
            </w:pPr>
            <w:r>
              <w:rPr>
                <w:rFonts w:hint="eastAsia" w:ascii="仿宋" w:hAnsi="仿宋" w:eastAsia="仿宋" w:cs="仿宋"/>
                <w:b/>
                <w:bCs/>
                <w:color w:val="000000"/>
                <w:szCs w:val="21"/>
              </w:rPr>
              <w:t>专任教师实践锻炼和兼职教师队伍建设</w:t>
            </w:r>
          </w:p>
        </w:tc>
        <w:tc>
          <w:tcPr>
            <w:tcW w:w="0" w:type="auto"/>
            <w:tcBorders>
              <w:top w:val="single" w:color="000000" w:sz="4" w:space="0"/>
              <w:left w:val="single" w:color="000000" w:sz="4" w:space="0"/>
              <w:bottom w:val="single" w:color="000000" w:sz="4" w:space="0"/>
              <w:right w:val="single" w:color="000000" w:sz="4" w:space="0"/>
            </w:tcBorders>
            <w:vAlign w:val="center"/>
          </w:tcPr>
          <w:p>
            <w:pPr>
              <w:jc w:val="left"/>
              <w:rPr>
                <w:rFonts w:ascii="仿宋" w:hAnsi="仿宋" w:eastAsia="仿宋" w:cs="仿宋"/>
                <w:color w:val="000000"/>
                <w:szCs w:val="21"/>
              </w:rPr>
            </w:pPr>
            <w:r>
              <w:rPr>
                <w:rFonts w:hint="eastAsia" w:ascii="仿宋" w:hAnsi="仿宋" w:eastAsia="仿宋" w:cs="仿宋"/>
                <w:color w:val="000000"/>
                <w:szCs w:val="21"/>
              </w:rPr>
              <w:t>加强教师下企业实践锻炼；夯实教师参加国家、省培、市培和校本培训数量和质量；激活兼职教师活力，提升教学水平，增加兼职教师上课课时。</w:t>
            </w:r>
          </w:p>
        </w:tc>
        <w:tc>
          <w:tcPr>
            <w:tcW w:w="0" w:type="auto"/>
            <w:tcBorders>
              <w:top w:val="single" w:color="000000" w:sz="4" w:space="0"/>
              <w:left w:val="single" w:color="000000" w:sz="4" w:space="0"/>
              <w:bottom w:val="single" w:color="000000" w:sz="4" w:space="0"/>
              <w:right w:val="single" w:color="000000" w:sz="4" w:space="0"/>
            </w:tcBorders>
            <w:vAlign w:val="center"/>
          </w:tcPr>
          <w:p>
            <w:pPr>
              <w:jc w:val="left"/>
              <w:rPr>
                <w:rFonts w:ascii="仿宋" w:hAnsi="仿宋" w:eastAsia="仿宋" w:cs="仿宋"/>
                <w:color w:val="000000"/>
                <w:szCs w:val="21"/>
              </w:rPr>
            </w:pPr>
            <w:r>
              <w:rPr>
                <w:rFonts w:hint="eastAsia" w:ascii="仿宋" w:hAnsi="仿宋" w:eastAsia="仿宋" w:cs="仿宋"/>
                <w:color w:val="000000"/>
                <w:szCs w:val="21"/>
              </w:rPr>
              <w:t>严格落实《教育部等七部门关于印发《职业学校教师企业实践规定》的通知》，全面推进专任教师实践锻炼和外出培训实践，争取教师年均下企业人数占专任教师比例不低于20%；参加国培、省培和市培的专任教师人数总数不低于20%。教师下企业实践锻炼数量达80%，兼职教师上课课时占总课时比例20%以上。</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Cs w:val="21"/>
              </w:rPr>
            </w:pPr>
            <w:r>
              <w:rPr>
                <w:rFonts w:hint="eastAsia" w:ascii="仿宋" w:hAnsi="仿宋" w:eastAsia="仿宋" w:cs="仿宋"/>
                <w:color w:val="000000"/>
                <w:szCs w:val="21"/>
              </w:rPr>
              <w:t>100</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Cs w:val="21"/>
              </w:rPr>
            </w:pPr>
            <w:r>
              <w:rPr>
                <w:rFonts w:hint="eastAsia" w:ascii="仿宋" w:hAnsi="仿宋" w:eastAsia="仿宋" w:cs="仿宋"/>
                <w:color w:val="000000"/>
                <w:szCs w:val="21"/>
              </w:rPr>
              <w:t>100</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Cs w:val="21"/>
              </w:rPr>
            </w:pPr>
            <w:r>
              <w:rPr>
                <w:rFonts w:hint="eastAsia" w:ascii="仿宋" w:hAnsi="仿宋" w:eastAsia="仿宋" w:cs="仿宋"/>
                <w:color w:val="000000"/>
                <w:szCs w:val="21"/>
              </w:rPr>
              <w:t>100</w:t>
            </w:r>
          </w:p>
        </w:tc>
      </w:tr>
    </w:tbl>
    <w:p/>
    <w:p>
      <w:pPr>
        <w:pStyle w:val="4"/>
      </w:pPr>
      <w:bookmarkStart w:id="62" w:name="_Toc164347849"/>
      <w:r>
        <w:rPr>
          <w:rFonts w:hint="eastAsia"/>
        </w:rPr>
        <w:t>3.</w:t>
      </w:r>
      <w:bookmarkStart w:id="63" w:name="_Toc4978"/>
      <w:r>
        <w:rPr>
          <w:rFonts w:hint="eastAsia"/>
        </w:rPr>
        <w:fldChar w:fldCharType="begin"/>
      </w:r>
      <w:r>
        <w:rPr>
          <w:rFonts w:hint="eastAsia"/>
        </w:rPr>
        <w:instrText xml:space="preserve"> HYPERLINK \l "_Toc6739" </w:instrText>
      </w:r>
      <w:r>
        <w:rPr>
          <w:rFonts w:hint="eastAsia"/>
        </w:rPr>
        <w:fldChar w:fldCharType="separate"/>
      </w:r>
      <w:r>
        <w:rPr>
          <w:rFonts w:hint="eastAsia"/>
        </w:rPr>
        <w:t>教职工师德师风和教师发展制度建设</w:t>
      </w:r>
      <w:r>
        <w:rPr>
          <w:rFonts w:hint="eastAsia"/>
        </w:rPr>
        <w:fldChar w:fldCharType="end"/>
      </w:r>
      <w:bookmarkEnd w:id="63"/>
      <w:r>
        <w:rPr>
          <w:rFonts w:hint="eastAsia"/>
        </w:rPr>
        <w:t>项目</w:t>
      </w:r>
      <w:bookmarkEnd w:id="62"/>
    </w:p>
    <w:p>
      <w:pPr>
        <w:spacing w:line="540" w:lineRule="exact"/>
        <w:ind w:firstLine="562" w:firstLineChars="200"/>
        <w:rPr>
          <w:rFonts w:ascii="仿宋" w:hAnsi="仿宋" w:eastAsia="仿宋" w:cs="仿宋"/>
          <w:b/>
          <w:bCs/>
          <w:color w:val="FF0000"/>
          <w:sz w:val="28"/>
          <w:szCs w:val="28"/>
        </w:rPr>
      </w:pPr>
      <w:r>
        <w:rPr>
          <w:rFonts w:hint="eastAsia" w:ascii="仿宋" w:hAnsi="仿宋" w:eastAsia="仿宋" w:cs="仿宋"/>
          <w:b/>
          <w:bCs/>
          <w:sz w:val="28"/>
          <w:szCs w:val="28"/>
        </w:rPr>
        <w:t>（1）必要性和可行性</w:t>
      </w:r>
    </w:p>
    <w:p>
      <w:pPr>
        <w:spacing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师德师风建设是教育教学工作的基石，直接关系到教师的形象、学生的成长和</w:t>
      </w:r>
      <w:r>
        <w:rPr>
          <w:rFonts w:ascii="仿宋" w:hAnsi="仿宋" w:eastAsia="仿宋" w:cs="仿宋"/>
          <w:bCs/>
          <w:sz w:val="28"/>
          <w:szCs w:val="28"/>
        </w:rPr>
        <w:t>学校的发展</w:t>
      </w:r>
      <w:r>
        <w:rPr>
          <w:rFonts w:hint="eastAsia" w:ascii="仿宋" w:hAnsi="仿宋" w:eastAsia="仿宋" w:cs="仿宋"/>
          <w:bCs/>
          <w:sz w:val="28"/>
          <w:szCs w:val="28"/>
        </w:rPr>
        <w:t>。教师作为学生的引路人和榜样，其言行举止、道德品质对学生产生着深远影响。良好的师德师风不仅是教师的基本素养，更是塑造学生成才、养成良好品德的关键因素。只有不断提升师德师风水平，才能真正提高教育质量，培养出更多德才兼备的优秀学生，才能为教育事业的可持续发展奠定坚实的基础。教</w:t>
      </w:r>
      <w:r>
        <w:rPr>
          <w:rFonts w:ascii="仿宋" w:hAnsi="仿宋" w:eastAsia="仿宋" w:cs="仿宋"/>
          <w:bCs/>
          <w:sz w:val="28"/>
          <w:szCs w:val="28"/>
        </w:rPr>
        <w:t>师发展制度建设是</w:t>
      </w:r>
      <w:r>
        <w:rPr>
          <w:rFonts w:hint="eastAsia" w:ascii="仿宋" w:hAnsi="仿宋" w:eastAsia="仿宋" w:cs="仿宋"/>
          <w:bCs/>
          <w:sz w:val="28"/>
          <w:szCs w:val="28"/>
        </w:rPr>
        <w:t>实</w:t>
      </w:r>
      <w:r>
        <w:rPr>
          <w:rFonts w:ascii="仿宋" w:hAnsi="仿宋" w:eastAsia="仿宋" w:cs="仿宋"/>
          <w:bCs/>
          <w:sz w:val="28"/>
          <w:szCs w:val="28"/>
        </w:rPr>
        <w:t>现教师可持续发展的制度保障，也是</w:t>
      </w:r>
      <w:r>
        <w:rPr>
          <w:rFonts w:hint="eastAsia" w:ascii="仿宋" w:hAnsi="仿宋" w:eastAsia="仿宋" w:cs="仿宋"/>
          <w:bCs/>
          <w:sz w:val="28"/>
          <w:szCs w:val="28"/>
        </w:rPr>
        <w:t>激发</w:t>
      </w:r>
      <w:r>
        <w:rPr>
          <w:rFonts w:ascii="仿宋" w:hAnsi="仿宋" w:eastAsia="仿宋" w:cs="仿宋"/>
          <w:bCs/>
          <w:sz w:val="28"/>
          <w:szCs w:val="28"/>
        </w:rPr>
        <w:t>教师</w:t>
      </w:r>
      <w:r>
        <w:rPr>
          <w:rFonts w:hint="eastAsia" w:ascii="仿宋" w:hAnsi="仿宋" w:eastAsia="仿宋" w:cs="仿宋"/>
          <w:bCs/>
          <w:sz w:val="28"/>
          <w:szCs w:val="28"/>
        </w:rPr>
        <w:t>主观</w:t>
      </w:r>
      <w:r>
        <w:rPr>
          <w:rFonts w:ascii="仿宋" w:hAnsi="仿宋" w:eastAsia="仿宋" w:cs="仿宋"/>
          <w:bCs/>
          <w:sz w:val="28"/>
          <w:szCs w:val="28"/>
        </w:rPr>
        <w:t>能动性和创新性的动力源泉。</w:t>
      </w:r>
    </w:p>
    <w:p>
      <w:pPr>
        <w:spacing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学校持续</w:t>
      </w:r>
      <w:r>
        <w:rPr>
          <w:rFonts w:ascii="仿宋" w:hAnsi="仿宋" w:eastAsia="仿宋" w:cs="仿宋"/>
          <w:bCs/>
          <w:sz w:val="28"/>
          <w:szCs w:val="28"/>
        </w:rPr>
        <w:t>健全教师</w:t>
      </w:r>
      <w:r>
        <w:rPr>
          <w:rFonts w:hint="eastAsia" w:ascii="仿宋" w:hAnsi="仿宋" w:eastAsia="仿宋" w:cs="仿宋"/>
          <w:bCs/>
          <w:sz w:val="28"/>
          <w:szCs w:val="28"/>
        </w:rPr>
        <w:t>发展</w:t>
      </w:r>
      <w:r>
        <w:rPr>
          <w:rFonts w:ascii="仿宋" w:hAnsi="仿宋" w:eastAsia="仿宋" w:cs="仿宋"/>
          <w:bCs/>
          <w:sz w:val="28"/>
          <w:szCs w:val="28"/>
        </w:rPr>
        <w:t>制度，建立较为完</w:t>
      </w:r>
      <w:r>
        <w:rPr>
          <w:rFonts w:hint="eastAsia" w:ascii="仿宋" w:hAnsi="仿宋" w:eastAsia="仿宋" w:cs="仿宋"/>
          <w:bCs/>
          <w:sz w:val="28"/>
          <w:szCs w:val="28"/>
        </w:rPr>
        <w:t>备</w:t>
      </w:r>
      <w:r>
        <w:rPr>
          <w:rFonts w:ascii="仿宋" w:hAnsi="仿宋" w:eastAsia="仿宋" w:cs="仿宋"/>
          <w:bCs/>
          <w:sz w:val="28"/>
          <w:szCs w:val="28"/>
        </w:rPr>
        <w:t>的业绩考核</w:t>
      </w:r>
      <w:r>
        <w:rPr>
          <w:rFonts w:hint="eastAsia" w:ascii="仿宋" w:hAnsi="仿宋" w:eastAsia="仿宋" w:cs="仿宋"/>
          <w:bCs/>
          <w:sz w:val="28"/>
          <w:szCs w:val="28"/>
        </w:rPr>
        <w:t>体系</w:t>
      </w:r>
      <w:r>
        <w:rPr>
          <w:rFonts w:ascii="仿宋" w:hAnsi="仿宋" w:eastAsia="仿宋" w:cs="仿宋"/>
          <w:bCs/>
          <w:sz w:val="28"/>
          <w:szCs w:val="28"/>
        </w:rPr>
        <w:t>和职称评</w:t>
      </w:r>
      <w:r>
        <w:rPr>
          <w:rFonts w:hint="eastAsia" w:ascii="仿宋" w:hAnsi="仿宋" w:eastAsia="仿宋" w:cs="仿宋"/>
          <w:bCs/>
          <w:sz w:val="28"/>
          <w:szCs w:val="28"/>
        </w:rPr>
        <w:t>价制度</w:t>
      </w:r>
      <w:r>
        <w:rPr>
          <w:rFonts w:ascii="仿宋" w:hAnsi="仿宋" w:eastAsia="仿宋" w:cs="仿宋"/>
          <w:bCs/>
          <w:sz w:val="28"/>
          <w:szCs w:val="28"/>
        </w:rPr>
        <w:t>，</w:t>
      </w:r>
      <w:r>
        <w:rPr>
          <w:rFonts w:hint="eastAsia" w:ascii="仿宋" w:hAnsi="仿宋" w:eastAsia="仿宋" w:cs="仿宋"/>
          <w:bCs/>
          <w:sz w:val="28"/>
          <w:szCs w:val="28"/>
        </w:rPr>
        <w:t>实</w:t>
      </w:r>
      <w:r>
        <w:rPr>
          <w:rFonts w:ascii="仿宋" w:hAnsi="仿宋" w:eastAsia="仿宋" w:cs="仿宋"/>
          <w:bCs/>
          <w:sz w:val="28"/>
          <w:szCs w:val="28"/>
        </w:rPr>
        <w:t>行优胜劣汰、</w:t>
      </w:r>
      <w:r>
        <w:rPr>
          <w:rFonts w:hint="eastAsia" w:ascii="仿宋" w:hAnsi="仿宋" w:eastAsia="仿宋" w:cs="仿宋"/>
          <w:bCs/>
          <w:sz w:val="28"/>
          <w:szCs w:val="28"/>
        </w:rPr>
        <w:t>多</w:t>
      </w:r>
      <w:r>
        <w:rPr>
          <w:rFonts w:ascii="仿宋" w:hAnsi="仿宋" w:eastAsia="仿宋" w:cs="仿宋"/>
          <w:bCs/>
          <w:sz w:val="28"/>
          <w:szCs w:val="28"/>
        </w:rPr>
        <w:t>劳多德、优绩优</w:t>
      </w:r>
      <w:r>
        <w:rPr>
          <w:rFonts w:hint="eastAsia" w:ascii="仿宋" w:hAnsi="仿宋" w:eastAsia="仿宋" w:cs="仿宋"/>
          <w:bCs/>
          <w:sz w:val="28"/>
          <w:szCs w:val="28"/>
        </w:rPr>
        <w:t>酬；</w:t>
      </w:r>
      <w:r>
        <w:rPr>
          <w:rFonts w:ascii="仿宋" w:hAnsi="仿宋" w:eastAsia="仿宋" w:cs="仿宋"/>
          <w:bCs/>
          <w:sz w:val="28"/>
          <w:szCs w:val="28"/>
        </w:rPr>
        <w:t>学校</w:t>
      </w:r>
      <w:r>
        <w:rPr>
          <w:rFonts w:hint="eastAsia" w:ascii="仿宋" w:hAnsi="仿宋" w:eastAsia="仿宋" w:cs="仿宋"/>
          <w:bCs/>
          <w:sz w:val="28"/>
          <w:szCs w:val="28"/>
        </w:rPr>
        <w:t>成立</w:t>
      </w:r>
      <w:r>
        <w:rPr>
          <w:rFonts w:ascii="仿宋" w:hAnsi="仿宋" w:eastAsia="仿宋" w:cs="仿宋"/>
          <w:bCs/>
          <w:sz w:val="28"/>
          <w:szCs w:val="28"/>
        </w:rPr>
        <w:t>分级教师发展中心，全力</w:t>
      </w:r>
      <w:r>
        <w:rPr>
          <w:rFonts w:hint="eastAsia" w:ascii="仿宋" w:hAnsi="仿宋" w:eastAsia="仿宋" w:cs="仿宋"/>
          <w:bCs/>
          <w:sz w:val="28"/>
          <w:szCs w:val="28"/>
        </w:rPr>
        <w:t>推动</w:t>
      </w:r>
      <w:r>
        <w:rPr>
          <w:rFonts w:ascii="仿宋" w:hAnsi="仿宋" w:eastAsia="仿宋" w:cs="仿宋"/>
          <w:bCs/>
          <w:sz w:val="28"/>
          <w:szCs w:val="28"/>
        </w:rPr>
        <w:t>各类各项教师培训、</w:t>
      </w:r>
      <w:r>
        <w:rPr>
          <w:rFonts w:hint="eastAsia" w:ascii="仿宋" w:hAnsi="仿宋" w:eastAsia="仿宋" w:cs="仿宋"/>
          <w:bCs/>
          <w:sz w:val="28"/>
          <w:szCs w:val="28"/>
        </w:rPr>
        <w:t>充分利用</w:t>
      </w:r>
      <w:r>
        <w:rPr>
          <w:rFonts w:ascii="仿宋" w:hAnsi="仿宋" w:eastAsia="仿宋" w:cs="仿宋"/>
          <w:bCs/>
          <w:sz w:val="28"/>
          <w:szCs w:val="28"/>
        </w:rPr>
        <w:t>本校教学名师、</w:t>
      </w:r>
      <w:r>
        <w:rPr>
          <w:rFonts w:hint="eastAsia" w:ascii="仿宋" w:hAnsi="仿宋" w:eastAsia="仿宋" w:cs="仿宋"/>
          <w:bCs/>
          <w:sz w:val="28"/>
          <w:szCs w:val="28"/>
        </w:rPr>
        <w:t>优质</w:t>
      </w:r>
      <w:r>
        <w:rPr>
          <w:rFonts w:ascii="仿宋" w:hAnsi="仿宋" w:eastAsia="仿宋" w:cs="仿宋"/>
          <w:bCs/>
          <w:sz w:val="28"/>
          <w:szCs w:val="28"/>
        </w:rPr>
        <w:t>高水平</w:t>
      </w:r>
      <w:r>
        <w:rPr>
          <w:rFonts w:hint="eastAsia" w:ascii="仿宋" w:hAnsi="仿宋" w:eastAsia="仿宋" w:cs="仿宋"/>
          <w:bCs/>
          <w:sz w:val="28"/>
          <w:szCs w:val="28"/>
        </w:rPr>
        <w:t>师</w:t>
      </w:r>
      <w:r>
        <w:rPr>
          <w:rFonts w:ascii="仿宋" w:hAnsi="仿宋" w:eastAsia="仿宋" w:cs="仿宋"/>
          <w:bCs/>
          <w:sz w:val="28"/>
          <w:szCs w:val="28"/>
        </w:rPr>
        <w:t>资给予教师</w:t>
      </w:r>
      <w:r>
        <w:rPr>
          <w:rFonts w:hint="eastAsia" w:ascii="仿宋" w:hAnsi="仿宋" w:eastAsia="仿宋" w:cs="仿宋"/>
          <w:bCs/>
          <w:sz w:val="28"/>
          <w:szCs w:val="28"/>
        </w:rPr>
        <w:t>尤其</w:t>
      </w:r>
      <w:r>
        <w:rPr>
          <w:rFonts w:ascii="仿宋" w:hAnsi="仿宋" w:eastAsia="仿宋" w:cs="仿宋"/>
          <w:bCs/>
          <w:sz w:val="28"/>
          <w:szCs w:val="28"/>
        </w:rPr>
        <w:t>是青年教师专业</w:t>
      </w:r>
      <w:r>
        <w:rPr>
          <w:rFonts w:hint="eastAsia" w:ascii="仿宋" w:hAnsi="仿宋" w:eastAsia="仿宋" w:cs="仿宋"/>
          <w:bCs/>
          <w:sz w:val="28"/>
          <w:szCs w:val="28"/>
        </w:rPr>
        <w:t>个</w:t>
      </w:r>
      <w:r>
        <w:rPr>
          <w:rFonts w:ascii="仿宋" w:hAnsi="仿宋" w:eastAsia="仿宋" w:cs="仿宋"/>
          <w:bCs/>
          <w:sz w:val="28"/>
          <w:szCs w:val="28"/>
        </w:rPr>
        <w:t>性化指导，</w:t>
      </w:r>
      <w:r>
        <w:rPr>
          <w:rFonts w:hint="eastAsia" w:ascii="仿宋" w:hAnsi="仿宋" w:eastAsia="仿宋" w:cs="仿宋"/>
          <w:bCs/>
          <w:sz w:val="28"/>
          <w:szCs w:val="28"/>
        </w:rPr>
        <w:t>提高教师业务水平和教学能力，满足本校特色化人才培养和教师个性化专业发展的需要。</w:t>
      </w:r>
    </w:p>
    <w:p>
      <w:pPr>
        <w:spacing w:line="54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（2）拟解决的关键问题</w:t>
      </w:r>
    </w:p>
    <w:p>
      <w:pPr>
        <w:spacing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以“四有”为标准，将师德建设贯穿教师职业生涯。以习近平新时代中国特色社会主义思想为引领，以制度建设为规范，以主题活动为载体，以热爱学生、教书育人为核心，以“弘扬高尚师德、强化专业素质、潜心立德树人”为准则，持续加强师德师风建设，以“思政铸魂、全面发展”为理念，完善师德师风考核制度，全面落实师德师风负面清单，建立师德建设长效机制。加强正向引导，建立从入职到退休的学校教师荣誉体系，弘扬高尚师德，引导教师以德立身，以德立学，以德施教。</w:t>
      </w:r>
    </w:p>
    <w:p>
      <w:pPr>
        <w:spacing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完善</w:t>
      </w:r>
      <w:r>
        <w:rPr>
          <w:rFonts w:ascii="仿宋" w:hAnsi="仿宋" w:eastAsia="仿宋" w:cs="仿宋"/>
          <w:bCs/>
          <w:sz w:val="28"/>
          <w:szCs w:val="28"/>
        </w:rPr>
        <w:t>教师发展各</w:t>
      </w:r>
      <w:r>
        <w:rPr>
          <w:rFonts w:hint="eastAsia" w:ascii="仿宋" w:hAnsi="仿宋" w:eastAsia="仿宋" w:cs="仿宋"/>
          <w:bCs/>
          <w:sz w:val="28"/>
          <w:szCs w:val="28"/>
        </w:rPr>
        <w:t>项</w:t>
      </w:r>
      <w:r>
        <w:rPr>
          <w:rFonts w:ascii="仿宋" w:hAnsi="仿宋" w:eastAsia="仿宋" w:cs="仿宋"/>
          <w:bCs/>
          <w:sz w:val="28"/>
          <w:szCs w:val="28"/>
        </w:rPr>
        <w:t>配套规章制度，</w:t>
      </w:r>
      <w:r>
        <w:rPr>
          <w:rFonts w:hint="eastAsia" w:ascii="仿宋" w:hAnsi="仿宋" w:eastAsia="仿宋" w:cs="仿宋"/>
          <w:bCs/>
          <w:sz w:val="28"/>
          <w:szCs w:val="28"/>
        </w:rPr>
        <w:t>建立教师分级发展机制，完善教师发展配套制度和教师发展中心工作体系。设立二级学院分中心，形成学校教师发展中心（规划处）、二级学院分中心、专业教研室（专业带头人）三级教师发展工作格局。建立教师发展中心师资库，选聘国内外企业行业、高校专家作为培训师，选聘校内教学科研骨干作为教师发展中心兼职讲师，在各二级学院设立人才专员，推动工作落实。</w:t>
      </w:r>
    </w:p>
    <w:p>
      <w:pPr>
        <w:spacing w:line="54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（3）建设目标</w:t>
      </w:r>
    </w:p>
    <w:p>
      <w:pPr>
        <w:spacing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以</w:t>
      </w:r>
      <w:r>
        <w:rPr>
          <w:rFonts w:ascii="仿宋" w:hAnsi="仿宋" w:eastAsia="仿宋" w:cs="仿宋"/>
          <w:bCs/>
          <w:sz w:val="28"/>
          <w:szCs w:val="28"/>
        </w:rPr>
        <w:t>“四有”好老师为标准，</w:t>
      </w:r>
      <w:r>
        <w:rPr>
          <w:rFonts w:hint="eastAsia" w:ascii="仿宋" w:hAnsi="仿宋" w:eastAsia="仿宋" w:cs="仿宋"/>
          <w:bCs/>
          <w:sz w:val="28"/>
          <w:szCs w:val="28"/>
        </w:rPr>
        <w:t>持续加强师德师风建设，完善师德师风考核制度，全面落实师德师风负面清单，建立师德建设长效机制建造</w:t>
      </w:r>
      <w:r>
        <w:rPr>
          <w:rFonts w:ascii="仿宋" w:hAnsi="仿宋" w:eastAsia="仿宋" w:cs="仿宋"/>
          <w:bCs/>
          <w:sz w:val="28"/>
          <w:szCs w:val="28"/>
        </w:rPr>
        <w:t>一支</w:t>
      </w:r>
      <w:r>
        <w:rPr>
          <w:rFonts w:hint="eastAsia" w:ascii="仿宋" w:hAnsi="仿宋" w:eastAsia="仿宋" w:cs="仿宋"/>
          <w:bCs/>
          <w:sz w:val="28"/>
          <w:szCs w:val="28"/>
        </w:rPr>
        <w:t>师</w:t>
      </w:r>
      <w:r>
        <w:rPr>
          <w:rFonts w:ascii="仿宋" w:hAnsi="仿宋" w:eastAsia="仿宋" w:cs="仿宋"/>
          <w:bCs/>
          <w:sz w:val="28"/>
          <w:szCs w:val="28"/>
        </w:rPr>
        <w:t>德师风优良、</w:t>
      </w:r>
      <w:r>
        <w:rPr>
          <w:rFonts w:hint="eastAsia" w:ascii="仿宋" w:hAnsi="仿宋" w:eastAsia="仿宋" w:cs="仿宋"/>
          <w:bCs/>
          <w:sz w:val="28"/>
          <w:szCs w:val="28"/>
        </w:rPr>
        <w:t>爱</w:t>
      </w:r>
      <w:r>
        <w:rPr>
          <w:rFonts w:ascii="仿宋" w:hAnsi="仿宋" w:eastAsia="仿宋" w:cs="仿宋"/>
          <w:bCs/>
          <w:sz w:val="28"/>
          <w:szCs w:val="28"/>
        </w:rPr>
        <w:t>岗</w:t>
      </w:r>
      <w:r>
        <w:rPr>
          <w:rFonts w:hint="eastAsia" w:ascii="仿宋" w:hAnsi="仿宋" w:eastAsia="仿宋" w:cs="仿宋"/>
          <w:bCs/>
          <w:sz w:val="28"/>
          <w:szCs w:val="28"/>
        </w:rPr>
        <w:t>敬</w:t>
      </w:r>
      <w:r>
        <w:rPr>
          <w:rFonts w:ascii="仿宋" w:hAnsi="仿宋" w:eastAsia="仿宋" w:cs="仿宋"/>
          <w:bCs/>
          <w:sz w:val="28"/>
          <w:szCs w:val="28"/>
        </w:rPr>
        <w:t>业、业务精湛、乐于奉献的师资队伍；</w:t>
      </w:r>
      <w:r>
        <w:rPr>
          <w:rFonts w:hint="eastAsia" w:ascii="仿宋" w:hAnsi="仿宋" w:eastAsia="仿宋" w:cs="仿宋"/>
          <w:bCs/>
          <w:sz w:val="28"/>
          <w:szCs w:val="28"/>
        </w:rPr>
        <w:t>建立教师分级发展机制，完善教师发展配套制度和教师发展中心工作体系，设立二级学院分中心，形成学校教师发展中心（规划处）、二级学院分中心、专业教研室（专业带头人）三级教师发展工作格局，培养更多教学名师</w:t>
      </w:r>
      <w:r>
        <w:rPr>
          <w:rFonts w:ascii="仿宋" w:hAnsi="仿宋" w:eastAsia="仿宋" w:cs="仿宋"/>
          <w:bCs/>
          <w:sz w:val="28"/>
          <w:szCs w:val="28"/>
        </w:rPr>
        <w:t>。</w:t>
      </w:r>
    </w:p>
    <w:p>
      <w:pPr>
        <w:spacing w:line="54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（4）重点建设任务</w:t>
      </w:r>
    </w:p>
    <w:p>
      <w:pPr>
        <w:spacing w:line="540" w:lineRule="exact"/>
        <w:ind w:firstLine="562" w:firstLineChars="200"/>
        <w:rPr>
          <w:rFonts w:ascii="仿宋" w:hAnsi="仿宋" w:eastAsia="仿宋" w:cs="仿宋"/>
          <w:b/>
          <w:sz w:val="28"/>
          <w:szCs w:val="28"/>
        </w:rPr>
      </w:pPr>
      <w:r>
        <w:rPr>
          <w:rFonts w:ascii="仿宋" w:hAnsi="仿宋" w:eastAsia="仿宋" w:cs="仿宋"/>
          <w:b/>
          <w:sz w:val="28"/>
          <w:szCs w:val="28"/>
        </w:rPr>
        <w:fldChar w:fldCharType="begin"/>
      </w:r>
      <w:r>
        <w:rPr>
          <w:rFonts w:ascii="仿宋" w:hAnsi="仿宋" w:eastAsia="仿宋" w:cs="仿宋"/>
          <w:b/>
          <w:sz w:val="28"/>
          <w:szCs w:val="28"/>
        </w:rPr>
        <w:instrText xml:space="preserve"> </w:instrText>
      </w:r>
      <w:r>
        <w:rPr>
          <w:rFonts w:hint="eastAsia" w:ascii="仿宋" w:hAnsi="仿宋" w:eastAsia="仿宋" w:cs="仿宋"/>
          <w:b/>
          <w:sz w:val="28"/>
          <w:szCs w:val="28"/>
        </w:rPr>
        <w:instrText xml:space="preserve">= 1 \* GB3</w:instrText>
      </w:r>
      <w:r>
        <w:rPr>
          <w:rFonts w:ascii="仿宋" w:hAnsi="仿宋" w:eastAsia="仿宋" w:cs="仿宋"/>
          <w:b/>
          <w:sz w:val="28"/>
          <w:szCs w:val="28"/>
        </w:rPr>
        <w:instrText xml:space="preserve"> </w:instrText>
      </w:r>
      <w:r>
        <w:rPr>
          <w:rFonts w:ascii="仿宋" w:hAnsi="仿宋" w:eastAsia="仿宋" w:cs="仿宋"/>
          <w:b/>
          <w:sz w:val="28"/>
          <w:szCs w:val="28"/>
        </w:rPr>
        <w:fldChar w:fldCharType="separate"/>
      </w:r>
      <w:r>
        <w:rPr>
          <w:rFonts w:hint="eastAsia" w:ascii="仿宋" w:hAnsi="仿宋" w:eastAsia="仿宋" w:cs="仿宋"/>
          <w:b/>
          <w:sz w:val="28"/>
          <w:szCs w:val="28"/>
        </w:rPr>
        <w:t>①</w:t>
      </w:r>
      <w:r>
        <w:rPr>
          <w:rFonts w:ascii="仿宋" w:hAnsi="仿宋" w:eastAsia="仿宋" w:cs="仿宋"/>
          <w:b/>
          <w:sz w:val="28"/>
          <w:szCs w:val="28"/>
        </w:rPr>
        <w:fldChar w:fldCharType="end"/>
      </w:r>
      <w:r>
        <w:rPr>
          <w:rFonts w:hint="eastAsia" w:ascii="仿宋" w:hAnsi="仿宋" w:eastAsia="仿宋" w:cs="仿宋"/>
          <w:b/>
          <w:sz w:val="28"/>
          <w:szCs w:val="28"/>
        </w:rPr>
        <w:t xml:space="preserve"> 完善师</w:t>
      </w:r>
      <w:r>
        <w:rPr>
          <w:rFonts w:ascii="仿宋" w:hAnsi="仿宋" w:eastAsia="仿宋" w:cs="仿宋"/>
          <w:b/>
          <w:sz w:val="28"/>
          <w:szCs w:val="28"/>
        </w:rPr>
        <w:t>德师风配套制度、大力做深做实师德师风主题活动</w:t>
      </w:r>
    </w:p>
    <w:p>
      <w:pPr>
        <w:spacing w:line="540" w:lineRule="exact"/>
        <w:ind w:firstLine="560" w:firstLineChars="200"/>
        <w:rPr>
          <w:rFonts w:ascii="仿宋" w:hAnsi="仿宋" w:eastAsia="仿宋" w:cs="仿宋"/>
          <w:bCs/>
          <w:sz w:val="28"/>
          <w:szCs w:val="28"/>
        </w:rPr>
      </w:pPr>
      <w:r>
        <w:rPr>
          <w:rFonts w:hint="eastAsia" w:ascii="仿宋" w:hAnsi="仿宋" w:eastAsia="仿宋" w:cs="仿宋"/>
          <w:sz w:val="28"/>
          <w:szCs w:val="28"/>
        </w:rPr>
        <w:t>一</w:t>
      </w:r>
      <w:r>
        <w:rPr>
          <w:rFonts w:ascii="仿宋" w:hAnsi="仿宋" w:eastAsia="仿宋" w:cs="仿宋"/>
          <w:sz w:val="28"/>
          <w:szCs w:val="28"/>
        </w:rPr>
        <w:t>要</w:t>
      </w:r>
      <w:r>
        <w:rPr>
          <w:rFonts w:hint="eastAsia" w:ascii="仿宋" w:hAnsi="仿宋" w:eastAsia="仿宋" w:cs="仿宋"/>
          <w:sz w:val="28"/>
          <w:szCs w:val="28"/>
        </w:rPr>
        <w:t>不断加强政治思</w:t>
      </w:r>
      <w:r>
        <w:rPr>
          <w:rFonts w:ascii="仿宋" w:hAnsi="仿宋" w:eastAsia="仿宋" w:cs="仿宋"/>
          <w:sz w:val="28"/>
          <w:szCs w:val="28"/>
        </w:rPr>
        <w:t>想教育</w:t>
      </w:r>
      <w:r>
        <w:rPr>
          <w:rFonts w:hint="eastAsia" w:ascii="仿宋" w:hAnsi="仿宋" w:eastAsia="仿宋" w:cs="仿宋"/>
          <w:sz w:val="28"/>
          <w:szCs w:val="28"/>
        </w:rPr>
        <w:t>学</w:t>
      </w:r>
      <w:r>
        <w:rPr>
          <w:rFonts w:ascii="仿宋" w:hAnsi="仿宋" w:eastAsia="仿宋" w:cs="仿宋"/>
          <w:sz w:val="28"/>
          <w:szCs w:val="28"/>
        </w:rPr>
        <w:t>习</w:t>
      </w:r>
      <w:r>
        <w:rPr>
          <w:rFonts w:hint="eastAsia" w:ascii="仿宋" w:hAnsi="仿宋" w:eastAsia="仿宋" w:cs="仿宋"/>
          <w:sz w:val="28"/>
          <w:szCs w:val="28"/>
        </w:rPr>
        <w:t>，让</w:t>
      </w:r>
      <w:r>
        <w:rPr>
          <w:rFonts w:ascii="仿宋" w:hAnsi="仿宋" w:eastAsia="仿宋" w:cs="仿宋"/>
          <w:sz w:val="28"/>
          <w:szCs w:val="28"/>
        </w:rPr>
        <w:t>教师</w:t>
      </w:r>
      <w:r>
        <w:rPr>
          <w:rFonts w:hint="eastAsia" w:ascii="仿宋" w:hAnsi="仿宋" w:eastAsia="仿宋" w:cs="仿宋"/>
          <w:sz w:val="28"/>
          <w:szCs w:val="28"/>
        </w:rPr>
        <w:t>牢牢把握政治意识形态的</w:t>
      </w:r>
      <w:r>
        <w:rPr>
          <w:rFonts w:ascii="仿宋" w:hAnsi="仿宋" w:eastAsia="仿宋" w:cs="仿宋"/>
          <w:sz w:val="28"/>
          <w:szCs w:val="28"/>
        </w:rPr>
        <w:t>底线、红线</w:t>
      </w:r>
      <w:r>
        <w:rPr>
          <w:rFonts w:hint="eastAsia" w:ascii="仿宋" w:hAnsi="仿宋" w:eastAsia="仿宋" w:cs="仿宋"/>
          <w:sz w:val="28"/>
          <w:szCs w:val="28"/>
        </w:rPr>
        <w:t>，</w:t>
      </w:r>
      <w:r>
        <w:rPr>
          <w:rFonts w:hint="eastAsia" w:ascii="仿宋" w:hAnsi="仿宋" w:eastAsia="仿宋" w:cs="仿宋"/>
          <w:bCs/>
          <w:sz w:val="28"/>
          <w:szCs w:val="28"/>
        </w:rPr>
        <w:t>以高度的政治责任感和使命感做好</w:t>
      </w:r>
      <w:r>
        <w:rPr>
          <w:rFonts w:ascii="仿宋" w:hAnsi="仿宋" w:eastAsia="仿宋" w:cs="仿宋"/>
          <w:bCs/>
          <w:sz w:val="28"/>
          <w:szCs w:val="28"/>
        </w:rPr>
        <w:t>教育教学。</w:t>
      </w:r>
      <w:r>
        <w:rPr>
          <w:rFonts w:hint="eastAsia" w:ascii="仿宋" w:hAnsi="仿宋" w:eastAsia="仿宋" w:cs="仿宋"/>
          <w:bCs/>
          <w:sz w:val="28"/>
          <w:szCs w:val="28"/>
        </w:rPr>
        <w:t>二要</w:t>
      </w:r>
      <w:r>
        <w:rPr>
          <w:rFonts w:ascii="仿宋" w:hAnsi="仿宋" w:eastAsia="仿宋" w:cs="仿宋"/>
          <w:bCs/>
          <w:sz w:val="28"/>
          <w:szCs w:val="28"/>
        </w:rPr>
        <w:t>不断根据形势，</w:t>
      </w:r>
      <w:r>
        <w:rPr>
          <w:rFonts w:hint="eastAsia" w:ascii="仿宋" w:hAnsi="仿宋" w:eastAsia="仿宋" w:cs="仿宋"/>
          <w:bCs/>
          <w:sz w:val="28"/>
          <w:szCs w:val="28"/>
        </w:rPr>
        <w:t>完善</w:t>
      </w:r>
      <w:r>
        <w:rPr>
          <w:rFonts w:ascii="仿宋" w:hAnsi="仿宋" w:eastAsia="仿宋" w:cs="仿宋"/>
          <w:bCs/>
          <w:sz w:val="28"/>
          <w:szCs w:val="28"/>
        </w:rPr>
        <w:t>配套的师德师</w:t>
      </w:r>
      <w:r>
        <w:rPr>
          <w:rFonts w:hint="eastAsia" w:ascii="仿宋" w:hAnsi="仿宋" w:eastAsia="仿宋" w:cs="仿宋"/>
          <w:bCs/>
          <w:sz w:val="28"/>
          <w:szCs w:val="28"/>
        </w:rPr>
        <w:t>风制度</w:t>
      </w:r>
      <w:r>
        <w:rPr>
          <w:rFonts w:ascii="仿宋" w:hAnsi="仿宋" w:eastAsia="仿宋" w:cs="仿宋"/>
          <w:bCs/>
          <w:sz w:val="28"/>
          <w:szCs w:val="28"/>
        </w:rPr>
        <w:t>，把教师的工作行为、生活作风牢牢控制在制度的笼子里。三</w:t>
      </w:r>
      <w:r>
        <w:rPr>
          <w:rFonts w:hint="eastAsia" w:ascii="仿宋" w:hAnsi="仿宋" w:eastAsia="仿宋" w:cs="仿宋"/>
          <w:bCs/>
          <w:sz w:val="28"/>
          <w:szCs w:val="28"/>
        </w:rPr>
        <w:t>要根据</w:t>
      </w:r>
      <w:r>
        <w:rPr>
          <w:rFonts w:ascii="仿宋" w:hAnsi="仿宋" w:eastAsia="仿宋" w:cs="仿宋"/>
          <w:bCs/>
          <w:sz w:val="28"/>
          <w:szCs w:val="28"/>
        </w:rPr>
        <w:t>国家、省市</w:t>
      </w:r>
      <w:r>
        <w:rPr>
          <w:rFonts w:hint="eastAsia" w:ascii="仿宋" w:hAnsi="仿宋" w:eastAsia="仿宋" w:cs="仿宋"/>
          <w:bCs/>
          <w:sz w:val="28"/>
          <w:szCs w:val="28"/>
        </w:rPr>
        <w:t>文件</w:t>
      </w:r>
      <w:r>
        <w:rPr>
          <w:rFonts w:ascii="仿宋" w:hAnsi="仿宋" w:eastAsia="仿宋" w:cs="仿宋"/>
          <w:bCs/>
          <w:sz w:val="28"/>
          <w:szCs w:val="28"/>
        </w:rPr>
        <w:t>要求做好师</w:t>
      </w:r>
      <w:r>
        <w:rPr>
          <w:rFonts w:hint="eastAsia" w:ascii="仿宋" w:hAnsi="仿宋" w:eastAsia="仿宋" w:cs="仿宋"/>
          <w:bCs/>
          <w:sz w:val="28"/>
          <w:szCs w:val="28"/>
        </w:rPr>
        <w:t>德师</w:t>
      </w:r>
      <w:r>
        <w:rPr>
          <w:rFonts w:ascii="仿宋" w:hAnsi="仿宋" w:eastAsia="仿宋" w:cs="仿宋"/>
          <w:bCs/>
          <w:sz w:val="28"/>
          <w:szCs w:val="28"/>
        </w:rPr>
        <w:t>风主题教育月活动，积极宣扬先进事迹和典型案例，树榜样、传新风。</w:t>
      </w:r>
    </w:p>
    <w:p>
      <w:pPr>
        <w:spacing w:line="540" w:lineRule="exact"/>
        <w:ind w:firstLine="562" w:firstLineChars="200"/>
        <w:rPr>
          <w:rFonts w:ascii="仿宋" w:hAnsi="仿宋" w:eastAsia="仿宋" w:cs="仿宋"/>
          <w:b/>
          <w:sz w:val="28"/>
          <w:szCs w:val="28"/>
        </w:rPr>
      </w:pPr>
      <w:r>
        <w:rPr>
          <w:rFonts w:ascii="仿宋" w:hAnsi="仿宋" w:eastAsia="仿宋" w:cs="仿宋"/>
          <w:b/>
          <w:sz w:val="28"/>
          <w:szCs w:val="28"/>
        </w:rPr>
        <w:fldChar w:fldCharType="begin"/>
      </w:r>
      <w:r>
        <w:rPr>
          <w:rFonts w:ascii="仿宋" w:hAnsi="仿宋" w:eastAsia="仿宋" w:cs="仿宋"/>
          <w:b/>
          <w:sz w:val="28"/>
          <w:szCs w:val="28"/>
        </w:rPr>
        <w:instrText xml:space="preserve"> </w:instrText>
      </w:r>
      <w:r>
        <w:rPr>
          <w:rFonts w:hint="eastAsia" w:ascii="仿宋" w:hAnsi="仿宋" w:eastAsia="仿宋" w:cs="仿宋"/>
          <w:b/>
          <w:sz w:val="28"/>
          <w:szCs w:val="28"/>
        </w:rPr>
        <w:instrText xml:space="preserve">= 2 \* GB3</w:instrText>
      </w:r>
      <w:r>
        <w:rPr>
          <w:rFonts w:ascii="仿宋" w:hAnsi="仿宋" w:eastAsia="仿宋" w:cs="仿宋"/>
          <w:b/>
          <w:sz w:val="28"/>
          <w:szCs w:val="28"/>
        </w:rPr>
        <w:instrText xml:space="preserve"> </w:instrText>
      </w:r>
      <w:r>
        <w:rPr>
          <w:rFonts w:ascii="仿宋" w:hAnsi="仿宋" w:eastAsia="仿宋" w:cs="仿宋"/>
          <w:b/>
          <w:sz w:val="28"/>
          <w:szCs w:val="28"/>
        </w:rPr>
        <w:fldChar w:fldCharType="separate"/>
      </w:r>
      <w:r>
        <w:rPr>
          <w:rFonts w:hint="eastAsia" w:ascii="仿宋" w:hAnsi="仿宋" w:eastAsia="仿宋" w:cs="仿宋"/>
          <w:b/>
          <w:sz w:val="28"/>
          <w:szCs w:val="28"/>
        </w:rPr>
        <w:t>②</w:t>
      </w:r>
      <w:r>
        <w:rPr>
          <w:rFonts w:ascii="仿宋" w:hAnsi="仿宋" w:eastAsia="仿宋" w:cs="仿宋"/>
          <w:b/>
          <w:sz w:val="28"/>
          <w:szCs w:val="28"/>
        </w:rPr>
        <w:fldChar w:fldCharType="end"/>
      </w:r>
      <w:r>
        <w:rPr>
          <w:rFonts w:hint="eastAsia" w:ascii="仿宋" w:hAnsi="仿宋" w:eastAsia="仿宋" w:cs="仿宋"/>
          <w:b/>
          <w:sz w:val="28"/>
          <w:szCs w:val="28"/>
        </w:rPr>
        <w:t xml:space="preserve"> 完善</w:t>
      </w:r>
      <w:r>
        <w:rPr>
          <w:rFonts w:ascii="仿宋" w:hAnsi="仿宋" w:eastAsia="仿宋" w:cs="仿宋"/>
          <w:b/>
          <w:sz w:val="28"/>
          <w:szCs w:val="28"/>
        </w:rPr>
        <w:t>教师发展各项配套制度、</w:t>
      </w:r>
      <w:r>
        <w:rPr>
          <w:rFonts w:hint="eastAsia" w:ascii="仿宋" w:hAnsi="仿宋" w:eastAsia="仿宋" w:cs="仿宋"/>
          <w:b/>
          <w:sz w:val="28"/>
          <w:szCs w:val="28"/>
        </w:rPr>
        <w:t>加</w:t>
      </w:r>
      <w:r>
        <w:rPr>
          <w:rFonts w:ascii="仿宋" w:hAnsi="仿宋" w:eastAsia="仿宋" w:cs="仿宋"/>
          <w:b/>
          <w:sz w:val="28"/>
          <w:szCs w:val="28"/>
        </w:rPr>
        <w:t>快教师职业高质量发展</w:t>
      </w:r>
    </w:p>
    <w:p>
      <w:pPr>
        <w:spacing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在基</w:t>
      </w:r>
      <w:r>
        <w:rPr>
          <w:rFonts w:ascii="仿宋" w:hAnsi="仿宋" w:eastAsia="仿宋" w:cs="仿宋"/>
          <w:bCs/>
          <w:sz w:val="28"/>
          <w:szCs w:val="28"/>
        </w:rPr>
        <w:t>于</w:t>
      </w:r>
      <w:r>
        <w:rPr>
          <w:rFonts w:hint="eastAsia" w:ascii="仿宋" w:hAnsi="仿宋" w:eastAsia="仿宋" w:cs="仿宋"/>
          <w:bCs/>
          <w:sz w:val="28"/>
          <w:szCs w:val="28"/>
        </w:rPr>
        <w:t>全</w:t>
      </w:r>
      <w:r>
        <w:rPr>
          <w:rFonts w:ascii="仿宋" w:hAnsi="仿宋" w:eastAsia="仿宋" w:cs="仿宋"/>
          <w:bCs/>
          <w:sz w:val="28"/>
          <w:szCs w:val="28"/>
        </w:rPr>
        <w:t>生命周期的人事管理制度框架下，</w:t>
      </w:r>
      <w:r>
        <w:rPr>
          <w:rFonts w:hint="eastAsia" w:ascii="仿宋" w:hAnsi="仿宋" w:eastAsia="仿宋" w:cs="仿宋"/>
          <w:bCs/>
          <w:sz w:val="28"/>
          <w:szCs w:val="28"/>
        </w:rPr>
        <w:t>探索构筑专兼职教师准入标准、教师素质认定标准、教师发展过程评价标准和教师管理工作标准的四</w:t>
      </w:r>
      <w:r>
        <w:rPr>
          <w:rFonts w:ascii="仿宋" w:hAnsi="仿宋" w:eastAsia="仿宋" w:cs="仿宋"/>
          <w:bCs/>
          <w:sz w:val="28"/>
          <w:szCs w:val="28"/>
        </w:rPr>
        <w:t>位一体的</w:t>
      </w:r>
      <w:r>
        <w:rPr>
          <w:rFonts w:hint="eastAsia" w:ascii="仿宋" w:hAnsi="仿宋" w:eastAsia="仿宋" w:cs="仿宋"/>
          <w:bCs/>
          <w:sz w:val="28"/>
          <w:szCs w:val="28"/>
        </w:rPr>
        <w:t>教师队伍标准体系和</w:t>
      </w:r>
      <w:r>
        <w:rPr>
          <w:rFonts w:ascii="仿宋" w:hAnsi="仿宋" w:eastAsia="仿宋" w:cs="仿宋"/>
          <w:bCs/>
          <w:sz w:val="28"/>
          <w:szCs w:val="28"/>
        </w:rPr>
        <w:t>相关配套制度</w:t>
      </w:r>
      <w:r>
        <w:rPr>
          <w:rFonts w:hint="eastAsia" w:ascii="仿宋" w:hAnsi="仿宋" w:eastAsia="仿宋" w:cs="仿宋"/>
          <w:bCs/>
          <w:sz w:val="28"/>
          <w:szCs w:val="28"/>
        </w:rPr>
        <w:t>，规范教</w:t>
      </w:r>
      <w:r>
        <w:rPr>
          <w:rFonts w:ascii="仿宋" w:hAnsi="仿宋" w:eastAsia="仿宋" w:cs="仿宋"/>
          <w:bCs/>
          <w:sz w:val="28"/>
          <w:szCs w:val="28"/>
        </w:rPr>
        <w:t>师</w:t>
      </w:r>
      <w:r>
        <w:rPr>
          <w:rFonts w:hint="eastAsia" w:ascii="仿宋" w:hAnsi="仿宋" w:eastAsia="仿宋" w:cs="仿宋"/>
          <w:bCs/>
          <w:sz w:val="28"/>
          <w:szCs w:val="28"/>
        </w:rPr>
        <w:t>职业</w:t>
      </w:r>
      <w:r>
        <w:rPr>
          <w:rFonts w:ascii="仿宋" w:hAnsi="仿宋" w:eastAsia="仿宋" w:cs="仿宋"/>
          <w:bCs/>
          <w:sz w:val="28"/>
          <w:szCs w:val="28"/>
        </w:rPr>
        <w:t>发展</w:t>
      </w:r>
      <w:r>
        <w:rPr>
          <w:rFonts w:hint="eastAsia" w:ascii="仿宋" w:hAnsi="仿宋" w:eastAsia="仿宋" w:cs="仿宋"/>
          <w:bCs/>
          <w:sz w:val="28"/>
          <w:szCs w:val="28"/>
        </w:rPr>
        <w:t>路径。</w:t>
      </w:r>
    </w:p>
    <w:p>
      <w:pPr>
        <w:spacing w:line="540" w:lineRule="exact"/>
        <w:ind w:firstLine="562" w:firstLineChars="200"/>
        <w:rPr>
          <w:rFonts w:ascii="仿宋" w:hAnsi="仿宋" w:eastAsia="仿宋" w:cs="仿宋"/>
          <w:b/>
          <w:sz w:val="28"/>
          <w:szCs w:val="28"/>
        </w:rPr>
      </w:pPr>
      <w:r>
        <w:rPr>
          <w:rFonts w:ascii="仿宋" w:hAnsi="仿宋" w:eastAsia="仿宋" w:cs="仿宋"/>
          <w:b/>
          <w:sz w:val="28"/>
          <w:szCs w:val="28"/>
        </w:rPr>
        <w:fldChar w:fldCharType="begin"/>
      </w:r>
      <w:r>
        <w:rPr>
          <w:rFonts w:ascii="仿宋" w:hAnsi="仿宋" w:eastAsia="仿宋" w:cs="仿宋"/>
          <w:b/>
          <w:sz w:val="28"/>
          <w:szCs w:val="28"/>
        </w:rPr>
        <w:instrText xml:space="preserve"> </w:instrText>
      </w:r>
      <w:r>
        <w:rPr>
          <w:rFonts w:hint="eastAsia" w:ascii="仿宋" w:hAnsi="仿宋" w:eastAsia="仿宋" w:cs="仿宋"/>
          <w:b/>
          <w:sz w:val="28"/>
          <w:szCs w:val="28"/>
        </w:rPr>
        <w:instrText xml:space="preserve">= 3 \* GB3</w:instrText>
      </w:r>
      <w:r>
        <w:rPr>
          <w:rFonts w:ascii="仿宋" w:hAnsi="仿宋" w:eastAsia="仿宋" w:cs="仿宋"/>
          <w:b/>
          <w:sz w:val="28"/>
          <w:szCs w:val="28"/>
        </w:rPr>
        <w:instrText xml:space="preserve"> </w:instrText>
      </w:r>
      <w:r>
        <w:rPr>
          <w:rFonts w:ascii="仿宋" w:hAnsi="仿宋" w:eastAsia="仿宋" w:cs="仿宋"/>
          <w:b/>
          <w:sz w:val="28"/>
          <w:szCs w:val="28"/>
        </w:rPr>
        <w:fldChar w:fldCharType="separate"/>
      </w:r>
      <w:r>
        <w:rPr>
          <w:rFonts w:hint="eastAsia" w:ascii="仿宋" w:hAnsi="仿宋" w:eastAsia="仿宋" w:cs="仿宋"/>
          <w:b/>
          <w:sz w:val="28"/>
          <w:szCs w:val="28"/>
        </w:rPr>
        <w:t>③</w:t>
      </w:r>
      <w:r>
        <w:rPr>
          <w:rFonts w:ascii="仿宋" w:hAnsi="仿宋" w:eastAsia="仿宋" w:cs="仿宋"/>
          <w:b/>
          <w:sz w:val="28"/>
          <w:szCs w:val="28"/>
        </w:rPr>
        <w:fldChar w:fldCharType="end"/>
      </w:r>
      <w:r>
        <w:rPr>
          <w:rFonts w:hint="eastAsia" w:ascii="仿宋" w:hAnsi="仿宋" w:eastAsia="仿宋" w:cs="仿宋"/>
          <w:b/>
          <w:sz w:val="28"/>
          <w:szCs w:val="28"/>
        </w:rPr>
        <w:t xml:space="preserve"> 创新师资评价激励保障机制</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落实人才评价不唯论文、不唯学历、不唯职称、不唯帽子等要求，将师德要求放在教师评价的首要位置，建立师德考核负面清单制度，在上岗、职称、评优、评奖以及各种竞争性人才项目评审方面严格执行师德考核一票否决。突出职业院校特点，进一步完善人才招聘、职称评审、岗位聘任、考核评价系列制度，建立以标准性成果和以“贡献者为中心”为导向、以目标管理和目标考核为重点的绩效工资动态调整机制，实现多劳多得、优绩优得、动态调整、能上能下。建立学校、行业企业多方参与的双师型教师考核评价体系。将教师改革企业生产工艺、解决生产技术难题，促进科技成果转化、开展创新创业和对外培训等工作纳入绩效考核、职称评审、岗位聘用等工作，发挥激励导向作用。</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优化聘用考核机制。探索符合学校引进标准的高层次技能人才的直聘和入职机制，建立符合双师型教师队伍建设的人才引进聘用体系。优化岗位设置管理办法、健全职称评聘制度和考核标准。</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深化分配制度改革，探索分类评价模式。逐步探索以单一学校分配为中心向二级学院为导向的二级分配制度，完善以“贡献者”为导向的绩效考核制度，按照专职教师、行政双肩挑人员和高层次人才的分类模式探索不同的评价标准。调动基层行政单位和广大教职工服务企业、社会积极性。完善科研技术服务、社会培训分配等制度，学校和二级学院通过校企合作、技术服务、社会培训等所得收入，按比例纳入学校绩效工资来源并计入个人科研和社会服务业绩，调动二级学院和广大教师社会服务积极性。配合“专业群+公司”等改革，制定骨干教师企业“兼职”制度，鼓励骨干教师更深入地融入企业，打造校企双师团队。</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强化团队激励。通过工作量团队包干、系数减免、整体考核的方式，向高水平专业团队和科研团队下放团队内部工作量调配及绩效分配自主权等权力，加强目标管理，强化对重要团队、重大平台的激励力度。配合行动导向、模块化课程学习模式改革，建立跨学院、跨专业、跨课程的高水平、结构化团队管理机制，打破组织壁垒，鼓励协同创新。打造“智慧人事”平台，建设支撑跨二级学院、跨专业教学科研团队、跨专业教学组织的绩效管理模式，基于教师职业生涯的全生命周期理念的智慧人事管理系统。</w:t>
      </w:r>
    </w:p>
    <w:p>
      <w:pPr>
        <w:spacing w:line="540" w:lineRule="exact"/>
        <w:ind w:firstLine="562" w:firstLineChars="200"/>
        <w:rPr>
          <w:rFonts w:ascii="仿宋" w:hAnsi="仿宋" w:eastAsia="仿宋" w:cs="仿宋"/>
          <w:b/>
          <w:bCs/>
          <w:color w:val="FF0000"/>
          <w:sz w:val="28"/>
          <w:szCs w:val="28"/>
        </w:rPr>
      </w:pPr>
      <w:r>
        <w:rPr>
          <w:rFonts w:hint="eastAsia" w:ascii="仿宋" w:hAnsi="仿宋" w:eastAsia="仿宋" w:cs="仿宋"/>
          <w:b/>
          <w:bCs/>
          <w:sz w:val="28"/>
          <w:szCs w:val="28"/>
        </w:rPr>
        <w:t>（5）建设计划</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3363"/>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lang w:eastAsia="en-US"/>
              </w:rPr>
            </w:pPr>
            <w:r>
              <w:rPr>
                <w:rFonts w:hint="eastAsia" w:ascii="仿宋" w:hAnsi="仿宋" w:eastAsia="仿宋" w:cs="仿宋"/>
                <w:b/>
                <w:bCs/>
                <w:color w:val="000000"/>
                <w:kern w:val="0"/>
                <w:szCs w:val="21"/>
                <w:lang w:eastAsia="en-US"/>
              </w:rPr>
              <w:t>年度</w:t>
            </w:r>
          </w:p>
        </w:tc>
        <w:tc>
          <w:tcPr>
            <w:tcW w:w="1704" w:type="dxa"/>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lang w:eastAsia="en-US"/>
              </w:rPr>
            </w:pPr>
            <w:r>
              <w:rPr>
                <w:rFonts w:hint="eastAsia" w:ascii="仿宋" w:hAnsi="仿宋" w:eastAsia="仿宋" w:cs="仿宋"/>
                <w:b/>
                <w:bCs/>
                <w:color w:val="000000"/>
                <w:kern w:val="0"/>
                <w:szCs w:val="21"/>
                <w:lang w:eastAsia="en-US"/>
              </w:rPr>
              <w:t>建设任务</w:t>
            </w:r>
          </w:p>
        </w:tc>
        <w:tc>
          <w:tcPr>
            <w:tcW w:w="3363" w:type="dxa"/>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lang w:eastAsia="en-US"/>
              </w:rPr>
            </w:pPr>
            <w:r>
              <w:rPr>
                <w:rFonts w:hint="eastAsia" w:ascii="仿宋" w:hAnsi="仿宋" w:eastAsia="仿宋" w:cs="仿宋"/>
                <w:b/>
                <w:bCs/>
                <w:color w:val="000000"/>
                <w:kern w:val="0"/>
                <w:szCs w:val="21"/>
                <w:lang w:eastAsia="en-US"/>
              </w:rPr>
              <w:t>建设内容</w:t>
            </w:r>
          </w:p>
        </w:tc>
        <w:tc>
          <w:tcPr>
            <w:tcW w:w="1559" w:type="dxa"/>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lang w:eastAsia="en-US"/>
              </w:rPr>
            </w:pPr>
            <w:r>
              <w:rPr>
                <w:rFonts w:hint="eastAsia" w:ascii="仿宋" w:hAnsi="仿宋" w:eastAsia="仿宋" w:cs="仿宋"/>
                <w:b/>
                <w:bCs/>
                <w:color w:val="000000"/>
                <w:kern w:val="0"/>
                <w:szCs w:val="21"/>
                <w:lang w:eastAsia="en-US"/>
              </w:rPr>
              <w:t>负责部门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restart"/>
            <w:vAlign w:val="center"/>
          </w:tcPr>
          <w:p>
            <w:pPr>
              <w:jc w:val="center"/>
              <w:rPr>
                <w:rFonts w:ascii="仿宋" w:hAnsi="仿宋" w:eastAsia="仿宋" w:cs="仿宋"/>
                <w:b/>
                <w:szCs w:val="21"/>
              </w:rPr>
            </w:pPr>
            <w:r>
              <w:rPr>
                <w:rFonts w:hint="eastAsia" w:ascii="仿宋" w:hAnsi="仿宋" w:eastAsia="仿宋" w:cs="仿宋"/>
                <w:b/>
                <w:szCs w:val="21"/>
              </w:rPr>
              <w:t>2023</w:t>
            </w:r>
          </w:p>
        </w:tc>
        <w:tc>
          <w:tcPr>
            <w:tcW w:w="1704" w:type="dxa"/>
            <w:vAlign w:val="center"/>
          </w:tcPr>
          <w:p>
            <w:pPr>
              <w:rPr>
                <w:rFonts w:ascii="仿宋" w:hAnsi="仿宋" w:eastAsia="仿宋" w:cs="仿宋"/>
                <w:bCs/>
                <w:szCs w:val="21"/>
              </w:rPr>
            </w:pPr>
            <w:r>
              <w:rPr>
                <w:rFonts w:hint="eastAsia" w:ascii="仿宋" w:hAnsi="仿宋" w:eastAsia="仿宋" w:cs="仿宋"/>
                <w:bCs/>
                <w:szCs w:val="21"/>
              </w:rPr>
              <w:t>完善师德师风配套制度、大力做深做实师德师风主题活动</w:t>
            </w:r>
          </w:p>
        </w:tc>
        <w:tc>
          <w:tcPr>
            <w:tcW w:w="3363" w:type="dxa"/>
            <w:vAlign w:val="center"/>
          </w:tcPr>
          <w:p>
            <w:pPr>
              <w:rPr>
                <w:rFonts w:ascii="仿宋" w:hAnsi="仿宋" w:eastAsia="仿宋" w:cs="仿宋"/>
                <w:bCs/>
                <w:szCs w:val="21"/>
              </w:rPr>
            </w:pPr>
            <w:r>
              <w:rPr>
                <w:rFonts w:hint="eastAsia" w:ascii="仿宋" w:hAnsi="仿宋" w:eastAsia="仿宋" w:cs="仿宋"/>
                <w:bCs/>
                <w:szCs w:val="21"/>
              </w:rPr>
              <w:t>不断加强政治思想教育学习；不断根据形势，完善配套的师德师风制度；根据国家、省市文件要求做好师德师风主题教育月活动</w:t>
            </w:r>
          </w:p>
        </w:tc>
        <w:tc>
          <w:tcPr>
            <w:tcW w:w="1559" w:type="dxa"/>
            <w:vAlign w:val="center"/>
          </w:tcPr>
          <w:p>
            <w:pPr>
              <w:jc w:val="center"/>
              <w:rPr>
                <w:rFonts w:ascii="仿宋" w:hAnsi="仿宋" w:eastAsia="仿宋" w:cs="仿宋"/>
                <w:bCs/>
                <w:szCs w:val="21"/>
              </w:rPr>
            </w:pPr>
            <w:r>
              <w:rPr>
                <w:rFonts w:hint="eastAsia" w:ascii="仿宋" w:hAnsi="仿宋" w:eastAsia="仿宋" w:cs="仿宋"/>
                <w:bCs/>
                <w:szCs w:val="21"/>
              </w:rPr>
              <w:t>人</w:t>
            </w:r>
            <w:r>
              <w:rPr>
                <w:rFonts w:ascii="仿宋" w:hAnsi="仿宋" w:eastAsia="仿宋" w:cs="仿宋"/>
                <w:bCs/>
                <w:szCs w:val="21"/>
              </w:rPr>
              <w:t>事处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continue"/>
            <w:vAlign w:val="center"/>
          </w:tcPr>
          <w:p>
            <w:pPr>
              <w:jc w:val="center"/>
              <w:rPr>
                <w:rFonts w:ascii="仿宋" w:hAnsi="仿宋" w:eastAsia="仿宋" w:cs="仿宋"/>
                <w:b/>
                <w:szCs w:val="21"/>
              </w:rPr>
            </w:pPr>
          </w:p>
        </w:tc>
        <w:tc>
          <w:tcPr>
            <w:tcW w:w="1704" w:type="dxa"/>
            <w:vAlign w:val="center"/>
          </w:tcPr>
          <w:p>
            <w:pPr>
              <w:rPr>
                <w:rFonts w:ascii="仿宋" w:hAnsi="仿宋" w:eastAsia="仿宋" w:cs="仿宋"/>
                <w:bCs/>
                <w:szCs w:val="21"/>
              </w:rPr>
            </w:pPr>
            <w:r>
              <w:rPr>
                <w:rFonts w:hint="eastAsia" w:ascii="仿宋" w:hAnsi="仿宋" w:eastAsia="仿宋" w:cs="仿宋"/>
                <w:bCs/>
                <w:szCs w:val="21"/>
              </w:rPr>
              <w:t>完善教师发展各项配套制度、加快教师职业高质量发展</w:t>
            </w:r>
          </w:p>
        </w:tc>
        <w:tc>
          <w:tcPr>
            <w:tcW w:w="3363" w:type="dxa"/>
            <w:vAlign w:val="center"/>
          </w:tcPr>
          <w:p>
            <w:pPr>
              <w:rPr>
                <w:rFonts w:ascii="仿宋" w:hAnsi="仿宋" w:eastAsia="仿宋" w:cs="仿宋"/>
                <w:bCs/>
                <w:szCs w:val="21"/>
              </w:rPr>
            </w:pPr>
            <w:r>
              <w:rPr>
                <w:rFonts w:hint="eastAsia" w:ascii="仿宋" w:hAnsi="仿宋" w:eastAsia="仿宋" w:cs="仿宋"/>
                <w:bCs/>
                <w:szCs w:val="21"/>
              </w:rPr>
              <w:t>构筑专兼职教师准入标准、教师素质认定标准、教师发展过程评价标准和教师管理工作标准的四位一体的教师队伍标准体系和相关配套制度</w:t>
            </w:r>
          </w:p>
        </w:tc>
        <w:tc>
          <w:tcPr>
            <w:tcW w:w="1559" w:type="dxa"/>
            <w:vAlign w:val="center"/>
          </w:tcPr>
          <w:p>
            <w:pPr>
              <w:jc w:val="center"/>
              <w:rPr>
                <w:rFonts w:ascii="仿宋" w:hAnsi="仿宋" w:eastAsia="仿宋" w:cs="仿宋"/>
                <w:bCs/>
                <w:szCs w:val="21"/>
              </w:rPr>
            </w:pPr>
            <w:r>
              <w:rPr>
                <w:rFonts w:hint="eastAsia" w:ascii="仿宋" w:hAnsi="仿宋" w:eastAsia="仿宋" w:cs="仿宋"/>
                <w:bCs/>
                <w:szCs w:val="21"/>
              </w:rPr>
              <w:t>人</w:t>
            </w:r>
            <w:r>
              <w:rPr>
                <w:rFonts w:ascii="仿宋" w:hAnsi="仿宋" w:eastAsia="仿宋" w:cs="仿宋"/>
                <w:bCs/>
                <w:szCs w:val="21"/>
              </w:rPr>
              <w:t>事处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continue"/>
            <w:vAlign w:val="center"/>
          </w:tcPr>
          <w:p>
            <w:pPr>
              <w:jc w:val="center"/>
              <w:rPr>
                <w:rFonts w:ascii="仿宋" w:hAnsi="仿宋" w:eastAsia="仿宋" w:cs="仿宋"/>
                <w:b/>
                <w:szCs w:val="21"/>
              </w:rPr>
            </w:pPr>
          </w:p>
        </w:tc>
        <w:tc>
          <w:tcPr>
            <w:tcW w:w="1704" w:type="dxa"/>
            <w:vAlign w:val="center"/>
          </w:tcPr>
          <w:p>
            <w:pPr>
              <w:rPr>
                <w:rFonts w:ascii="仿宋" w:hAnsi="仿宋" w:eastAsia="仿宋" w:cs="仿宋"/>
                <w:bCs/>
                <w:szCs w:val="21"/>
              </w:rPr>
            </w:pPr>
            <w:r>
              <w:rPr>
                <w:rFonts w:hint="eastAsia" w:ascii="仿宋" w:hAnsi="仿宋" w:eastAsia="仿宋" w:cs="仿宋"/>
                <w:bCs/>
                <w:szCs w:val="21"/>
              </w:rPr>
              <w:t>创新师资评价激励保障机制</w:t>
            </w:r>
          </w:p>
        </w:tc>
        <w:tc>
          <w:tcPr>
            <w:tcW w:w="3363" w:type="dxa"/>
            <w:vAlign w:val="center"/>
          </w:tcPr>
          <w:p>
            <w:pPr>
              <w:rPr>
                <w:rFonts w:ascii="仿宋" w:hAnsi="仿宋" w:eastAsia="仿宋" w:cs="仿宋"/>
                <w:bCs/>
                <w:szCs w:val="21"/>
              </w:rPr>
            </w:pPr>
            <w:r>
              <w:rPr>
                <w:rFonts w:hint="eastAsia" w:ascii="仿宋" w:hAnsi="仿宋" w:eastAsia="仿宋" w:cs="仿宋"/>
                <w:bCs/>
                <w:szCs w:val="21"/>
              </w:rPr>
              <w:t>建立师德考核负面清单制度；进一步完善人才招聘、职称评审、岗位聘任、考核评价系列制度；深化分配制度改革，探索分类评价模式</w:t>
            </w:r>
          </w:p>
        </w:tc>
        <w:tc>
          <w:tcPr>
            <w:tcW w:w="1559" w:type="dxa"/>
            <w:vAlign w:val="center"/>
          </w:tcPr>
          <w:p>
            <w:pPr>
              <w:jc w:val="center"/>
              <w:rPr>
                <w:rFonts w:ascii="仿宋" w:hAnsi="仿宋" w:eastAsia="仿宋" w:cs="仿宋"/>
                <w:bCs/>
                <w:szCs w:val="21"/>
              </w:rPr>
            </w:pPr>
            <w:r>
              <w:rPr>
                <w:rFonts w:hint="eastAsia" w:ascii="仿宋" w:hAnsi="仿宋" w:eastAsia="仿宋" w:cs="仿宋"/>
                <w:bCs/>
                <w:szCs w:val="21"/>
              </w:rPr>
              <w:t>人</w:t>
            </w:r>
            <w:r>
              <w:rPr>
                <w:rFonts w:ascii="仿宋" w:hAnsi="仿宋" w:eastAsia="仿宋" w:cs="仿宋"/>
                <w:bCs/>
                <w:szCs w:val="21"/>
              </w:rPr>
              <w:t>事处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restart"/>
            <w:vAlign w:val="center"/>
          </w:tcPr>
          <w:p>
            <w:pPr>
              <w:jc w:val="center"/>
              <w:rPr>
                <w:rFonts w:ascii="仿宋" w:hAnsi="仿宋" w:eastAsia="仿宋" w:cs="仿宋"/>
                <w:b/>
                <w:szCs w:val="21"/>
              </w:rPr>
            </w:pPr>
            <w:r>
              <w:rPr>
                <w:rFonts w:hint="eastAsia" w:ascii="仿宋" w:hAnsi="仿宋" w:eastAsia="仿宋" w:cs="仿宋"/>
                <w:b/>
                <w:szCs w:val="21"/>
              </w:rPr>
              <w:t>2024</w:t>
            </w:r>
          </w:p>
        </w:tc>
        <w:tc>
          <w:tcPr>
            <w:tcW w:w="1704" w:type="dxa"/>
            <w:vAlign w:val="center"/>
          </w:tcPr>
          <w:p>
            <w:pPr>
              <w:rPr>
                <w:rFonts w:ascii="仿宋" w:hAnsi="仿宋" w:eastAsia="仿宋" w:cs="仿宋"/>
                <w:bCs/>
                <w:szCs w:val="21"/>
              </w:rPr>
            </w:pPr>
            <w:r>
              <w:rPr>
                <w:rFonts w:hint="eastAsia" w:ascii="仿宋" w:hAnsi="仿宋" w:eastAsia="仿宋" w:cs="仿宋"/>
                <w:bCs/>
                <w:szCs w:val="21"/>
              </w:rPr>
              <w:t>完善师德师风配套制度、大力做深做实师德师风主题活动</w:t>
            </w:r>
          </w:p>
        </w:tc>
        <w:tc>
          <w:tcPr>
            <w:tcW w:w="3363" w:type="dxa"/>
            <w:vAlign w:val="center"/>
          </w:tcPr>
          <w:p>
            <w:pPr>
              <w:rPr>
                <w:rFonts w:ascii="仿宋" w:hAnsi="仿宋" w:eastAsia="仿宋" w:cs="仿宋"/>
                <w:bCs/>
                <w:szCs w:val="21"/>
              </w:rPr>
            </w:pPr>
            <w:r>
              <w:rPr>
                <w:rFonts w:hint="eastAsia" w:ascii="仿宋" w:hAnsi="仿宋" w:eastAsia="仿宋" w:cs="仿宋"/>
                <w:bCs/>
                <w:szCs w:val="21"/>
              </w:rPr>
              <w:t>不断加强政治思想教育学习；不断根据形势，完善配套的师德师风制度；根据国家、省市文件要求做好师德师风主题教育月活动</w:t>
            </w:r>
          </w:p>
        </w:tc>
        <w:tc>
          <w:tcPr>
            <w:tcW w:w="1559" w:type="dxa"/>
            <w:vAlign w:val="center"/>
          </w:tcPr>
          <w:p>
            <w:pPr>
              <w:jc w:val="center"/>
              <w:rPr>
                <w:rFonts w:ascii="仿宋" w:hAnsi="仿宋" w:eastAsia="仿宋" w:cs="仿宋"/>
                <w:bCs/>
                <w:szCs w:val="21"/>
              </w:rPr>
            </w:pPr>
            <w:r>
              <w:rPr>
                <w:rFonts w:hint="eastAsia" w:ascii="仿宋" w:hAnsi="仿宋" w:eastAsia="仿宋" w:cs="仿宋"/>
                <w:bCs/>
                <w:szCs w:val="21"/>
              </w:rPr>
              <w:t>人</w:t>
            </w:r>
            <w:r>
              <w:rPr>
                <w:rFonts w:ascii="仿宋" w:hAnsi="仿宋" w:eastAsia="仿宋" w:cs="仿宋"/>
                <w:bCs/>
                <w:szCs w:val="21"/>
              </w:rPr>
              <w:t>事处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continue"/>
            <w:vAlign w:val="center"/>
          </w:tcPr>
          <w:p>
            <w:pPr>
              <w:jc w:val="center"/>
              <w:rPr>
                <w:rFonts w:ascii="仿宋" w:hAnsi="仿宋" w:eastAsia="仿宋" w:cs="仿宋"/>
                <w:b/>
                <w:szCs w:val="21"/>
              </w:rPr>
            </w:pPr>
          </w:p>
        </w:tc>
        <w:tc>
          <w:tcPr>
            <w:tcW w:w="1704" w:type="dxa"/>
            <w:vAlign w:val="center"/>
          </w:tcPr>
          <w:p>
            <w:pPr>
              <w:rPr>
                <w:rFonts w:ascii="仿宋" w:hAnsi="仿宋" w:eastAsia="仿宋" w:cs="仿宋"/>
                <w:bCs/>
                <w:szCs w:val="21"/>
              </w:rPr>
            </w:pPr>
            <w:r>
              <w:rPr>
                <w:rFonts w:hint="eastAsia" w:ascii="仿宋" w:hAnsi="仿宋" w:eastAsia="仿宋" w:cs="仿宋"/>
                <w:bCs/>
                <w:szCs w:val="21"/>
              </w:rPr>
              <w:t>完善教师发展各项配套制度、加快教师职业高质量发展</w:t>
            </w:r>
          </w:p>
        </w:tc>
        <w:tc>
          <w:tcPr>
            <w:tcW w:w="3363" w:type="dxa"/>
            <w:vAlign w:val="center"/>
          </w:tcPr>
          <w:p>
            <w:pPr>
              <w:rPr>
                <w:rFonts w:ascii="仿宋" w:hAnsi="仿宋" w:eastAsia="仿宋" w:cs="仿宋"/>
                <w:bCs/>
                <w:szCs w:val="21"/>
              </w:rPr>
            </w:pPr>
            <w:r>
              <w:rPr>
                <w:rFonts w:hint="eastAsia" w:ascii="仿宋" w:hAnsi="仿宋" w:eastAsia="仿宋" w:cs="仿宋"/>
                <w:bCs/>
                <w:szCs w:val="21"/>
              </w:rPr>
              <w:t>构筑专兼职教师准入标准、教师素质认定标准、教师发展过程评价标准和教师管理工作标准的四位一体的教师队伍标准体系和相关配套制度</w:t>
            </w:r>
          </w:p>
        </w:tc>
        <w:tc>
          <w:tcPr>
            <w:tcW w:w="1559" w:type="dxa"/>
            <w:vAlign w:val="center"/>
          </w:tcPr>
          <w:p>
            <w:pPr>
              <w:jc w:val="center"/>
              <w:rPr>
                <w:rFonts w:ascii="仿宋" w:hAnsi="仿宋" w:eastAsia="仿宋" w:cs="仿宋"/>
                <w:bCs/>
                <w:szCs w:val="21"/>
              </w:rPr>
            </w:pPr>
            <w:r>
              <w:rPr>
                <w:rFonts w:hint="eastAsia" w:ascii="仿宋" w:hAnsi="仿宋" w:eastAsia="仿宋" w:cs="仿宋"/>
                <w:bCs/>
                <w:szCs w:val="21"/>
              </w:rPr>
              <w:t>人</w:t>
            </w:r>
            <w:r>
              <w:rPr>
                <w:rFonts w:ascii="仿宋" w:hAnsi="仿宋" w:eastAsia="仿宋" w:cs="仿宋"/>
                <w:bCs/>
                <w:szCs w:val="21"/>
              </w:rPr>
              <w:t>事处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continue"/>
            <w:vAlign w:val="center"/>
          </w:tcPr>
          <w:p>
            <w:pPr>
              <w:jc w:val="center"/>
              <w:rPr>
                <w:rFonts w:ascii="仿宋" w:hAnsi="仿宋" w:eastAsia="仿宋" w:cs="仿宋"/>
                <w:b/>
                <w:szCs w:val="21"/>
              </w:rPr>
            </w:pPr>
          </w:p>
        </w:tc>
        <w:tc>
          <w:tcPr>
            <w:tcW w:w="1704" w:type="dxa"/>
            <w:vAlign w:val="center"/>
          </w:tcPr>
          <w:p>
            <w:pPr>
              <w:rPr>
                <w:rFonts w:ascii="仿宋" w:hAnsi="仿宋" w:eastAsia="仿宋" w:cs="仿宋"/>
                <w:bCs/>
                <w:szCs w:val="21"/>
              </w:rPr>
            </w:pPr>
            <w:r>
              <w:rPr>
                <w:rFonts w:hint="eastAsia" w:ascii="仿宋" w:hAnsi="仿宋" w:eastAsia="仿宋" w:cs="仿宋"/>
                <w:bCs/>
                <w:szCs w:val="21"/>
              </w:rPr>
              <w:t>创新师资评价激励保障机制</w:t>
            </w:r>
          </w:p>
        </w:tc>
        <w:tc>
          <w:tcPr>
            <w:tcW w:w="3363" w:type="dxa"/>
            <w:vAlign w:val="center"/>
          </w:tcPr>
          <w:p>
            <w:pPr>
              <w:rPr>
                <w:rFonts w:ascii="仿宋" w:hAnsi="仿宋" w:eastAsia="仿宋" w:cs="仿宋"/>
                <w:bCs/>
                <w:szCs w:val="21"/>
              </w:rPr>
            </w:pPr>
            <w:r>
              <w:rPr>
                <w:rFonts w:hint="eastAsia" w:ascii="仿宋" w:hAnsi="仿宋" w:eastAsia="仿宋" w:cs="仿宋"/>
                <w:bCs/>
                <w:szCs w:val="21"/>
              </w:rPr>
              <w:t>建立师德考核负面清单制度；进一步完善人才招聘、职称评审、岗位聘任、考核评价系列制度；深化分配制度改革，探索分类评价模式</w:t>
            </w:r>
          </w:p>
        </w:tc>
        <w:tc>
          <w:tcPr>
            <w:tcW w:w="1559" w:type="dxa"/>
            <w:vAlign w:val="center"/>
          </w:tcPr>
          <w:p>
            <w:pPr>
              <w:jc w:val="center"/>
              <w:rPr>
                <w:rFonts w:ascii="仿宋" w:hAnsi="仿宋" w:eastAsia="仿宋" w:cs="仿宋"/>
                <w:bCs/>
                <w:szCs w:val="21"/>
              </w:rPr>
            </w:pPr>
            <w:r>
              <w:rPr>
                <w:rFonts w:hint="eastAsia" w:ascii="仿宋" w:hAnsi="仿宋" w:eastAsia="仿宋" w:cs="仿宋"/>
                <w:bCs/>
                <w:szCs w:val="21"/>
              </w:rPr>
              <w:t>人</w:t>
            </w:r>
            <w:r>
              <w:rPr>
                <w:rFonts w:ascii="仿宋" w:hAnsi="仿宋" w:eastAsia="仿宋" w:cs="仿宋"/>
                <w:bCs/>
                <w:szCs w:val="21"/>
              </w:rPr>
              <w:t>事处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restart"/>
            <w:vAlign w:val="center"/>
          </w:tcPr>
          <w:p>
            <w:pPr>
              <w:jc w:val="center"/>
              <w:rPr>
                <w:rFonts w:ascii="仿宋" w:hAnsi="仿宋" w:eastAsia="仿宋" w:cs="仿宋"/>
                <w:b/>
                <w:szCs w:val="21"/>
              </w:rPr>
            </w:pPr>
            <w:r>
              <w:rPr>
                <w:rFonts w:hint="eastAsia" w:ascii="仿宋" w:hAnsi="仿宋" w:eastAsia="仿宋" w:cs="仿宋"/>
                <w:b/>
                <w:szCs w:val="21"/>
              </w:rPr>
              <w:t>2025</w:t>
            </w:r>
          </w:p>
        </w:tc>
        <w:tc>
          <w:tcPr>
            <w:tcW w:w="1704" w:type="dxa"/>
            <w:vAlign w:val="center"/>
          </w:tcPr>
          <w:p>
            <w:pPr>
              <w:rPr>
                <w:rFonts w:ascii="仿宋" w:hAnsi="仿宋" w:eastAsia="仿宋" w:cs="仿宋"/>
                <w:bCs/>
                <w:szCs w:val="21"/>
              </w:rPr>
            </w:pPr>
            <w:r>
              <w:rPr>
                <w:rFonts w:hint="eastAsia" w:ascii="仿宋" w:hAnsi="仿宋" w:eastAsia="仿宋" w:cs="仿宋"/>
                <w:bCs/>
                <w:szCs w:val="21"/>
              </w:rPr>
              <w:t>完善师德师风配套制度、大力做深做实师德师风主题活动</w:t>
            </w:r>
          </w:p>
        </w:tc>
        <w:tc>
          <w:tcPr>
            <w:tcW w:w="3363" w:type="dxa"/>
            <w:vAlign w:val="center"/>
          </w:tcPr>
          <w:p>
            <w:pPr>
              <w:rPr>
                <w:rFonts w:ascii="仿宋" w:hAnsi="仿宋" w:eastAsia="仿宋" w:cs="仿宋"/>
                <w:bCs/>
                <w:szCs w:val="21"/>
              </w:rPr>
            </w:pPr>
            <w:r>
              <w:rPr>
                <w:rFonts w:hint="eastAsia" w:ascii="仿宋" w:hAnsi="仿宋" w:eastAsia="仿宋" w:cs="仿宋"/>
                <w:bCs/>
                <w:szCs w:val="21"/>
              </w:rPr>
              <w:t>不断加强政治思想教育学习；不断根据形势，完善配套的师德师风制度；根据国家、省市文件要求做好师德师风主题教育月活动</w:t>
            </w:r>
          </w:p>
        </w:tc>
        <w:tc>
          <w:tcPr>
            <w:tcW w:w="1559" w:type="dxa"/>
            <w:vAlign w:val="center"/>
          </w:tcPr>
          <w:p>
            <w:pPr>
              <w:jc w:val="center"/>
              <w:rPr>
                <w:rFonts w:ascii="仿宋" w:hAnsi="仿宋" w:eastAsia="仿宋" w:cs="仿宋"/>
                <w:bCs/>
                <w:szCs w:val="21"/>
              </w:rPr>
            </w:pPr>
            <w:r>
              <w:rPr>
                <w:rFonts w:hint="eastAsia" w:ascii="仿宋" w:hAnsi="仿宋" w:eastAsia="仿宋" w:cs="仿宋"/>
                <w:bCs/>
                <w:szCs w:val="21"/>
              </w:rPr>
              <w:t>人</w:t>
            </w:r>
            <w:r>
              <w:rPr>
                <w:rFonts w:ascii="仿宋" w:hAnsi="仿宋" w:eastAsia="仿宋" w:cs="仿宋"/>
                <w:bCs/>
                <w:szCs w:val="21"/>
              </w:rPr>
              <w:t>事处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continue"/>
            <w:vAlign w:val="center"/>
          </w:tcPr>
          <w:p>
            <w:pPr>
              <w:jc w:val="center"/>
              <w:rPr>
                <w:rFonts w:ascii="仿宋" w:hAnsi="仿宋" w:eastAsia="仿宋" w:cs="仿宋"/>
                <w:bCs/>
                <w:szCs w:val="21"/>
              </w:rPr>
            </w:pPr>
          </w:p>
        </w:tc>
        <w:tc>
          <w:tcPr>
            <w:tcW w:w="1704" w:type="dxa"/>
            <w:vAlign w:val="center"/>
          </w:tcPr>
          <w:p>
            <w:pPr>
              <w:rPr>
                <w:rFonts w:ascii="仿宋" w:hAnsi="仿宋" w:eastAsia="仿宋" w:cs="仿宋"/>
                <w:bCs/>
                <w:szCs w:val="21"/>
              </w:rPr>
            </w:pPr>
            <w:r>
              <w:rPr>
                <w:rFonts w:hint="eastAsia" w:ascii="仿宋" w:hAnsi="仿宋" w:eastAsia="仿宋" w:cs="仿宋"/>
                <w:bCs/>
                <w:szCs w:val="21"/>
              </w:rPr>
              <w:t>完善教师发展各项配套制度、加快教师职业高质量发展</w:t>
            </w:r>
          </w:p>
        </w:tc>
        <w:tc>
          <w:tcPr>
            <w:tcW w:w="3363" w:type="dxa"/>
            <w:vAlign w:val="center"/>
          </w:tcPr>
          <w:p>
            <w:pPr>
              <w:rPr>
                <w:rFonts w:ascii="仿宋" w:hAnsi="仿宋" w:eastAsia="仿宋" w:cs="仿宋"/>
                <w:bCs/>
                <w:szCs w:val="21"/>
              </w:rPr>
            </w:pPr>
            <w:r>
              <w:rPr>
                <w:rFonts w:hint="eastAsia" w:ascii="仿宋" w:hAnsi="仿宋" w:eastAsia="仿宋" w:cs="仿宋"/>
                <w:bCs/>
                <w:szCs w:val="21"/>
              </w:rPr>
              <w:t>构筑专兼职教师准入标准、教师素质认定标准、教师发展过程评价标准和教师管理工作标准的四位一体的教师队伍标准体系和相关配套制度</w:t>
            </w:r>
          </w:p>
        </w:tc>
        <w:tc>
          <w:tcPr>
            <w:tcW w:w="1559" w:type="dxa"/>
            <w:vAlign w:val="center"/>
          </w:tcPr>
          <w:p>
            <w:pPr>
              <w:jc w:val="center"/>
              <w:rPr>
                <w:rFonts w:ascii="仿宋" w:hAnsi="仿宋" w:eastAsia="仿宋" w:cs="仿宋"/>
                <w:bCs/>
                <w:szCs w:val="21"/>
              </w:rPr>
            </w:pPr>
            <w:r>
              <w:rPr>
                <w:rFonts w:hint="eastAsia" w:ascii="仿宋" w:hAnsi="仿宋" w:eastAsia="仿宋" w:cs="仿宋"/>
                <w:bCs/>
                <w:szCs w:val="21"/>
              </w:rPr>
              <w:t>人</w:t>
            </w:r>
            <w:r>
              <w:rPr>
                <w:rFonts w:ascii="仿宋" w:hAnsi="仿宋" w:eastAsia="仿宋" w:cs="仿宋"/>
                <w:bCs/>
                <w:szCs w:val="21"/>
              </w:rPr>
              <w:t>事处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continue"/>
            <w:vAlign w:val="center"/>
          </w:tcPr>
          <w:p>
            <w:pPr>
              <w:jc w:val="center"/>
              <w:rPr>
                <w:rFonts w:ascii="仿宋" w:hAnsi="仿宋" w:eastAsia="仿宋" w:cs="仿宋"/>
                <w:bCs/>
                <w:szCs w:val="21"/>
              </w:rPr>
            </w:pPr>
          </w:p>
        </w:tc>
        <w:tc>
          <w:tcPr>
            <w:tcW w:w="1704" w:type="dxa"/>
            <w:vAlign w:val="center"/>
          </w:tcPr>
          <w:p>
            <w:pPr>
              <w:rPr>
                <w:rFonts w:ascii="仿宋" w:hAnsi="仿宋" w:eastAsia="仿宋" w:cs="仿宋"/>
                <w:bCs/>
                <w:szCs w:val="21"/>
              </w:rPr>
            </w:pPr>
            <w:r>
              <w:rPr>
                <w:rFonts w:hint="eastAsia" w:ascii="仿宋" w:hAnsi="仿宋" w:eastAsia="仿宋" w:cs="仿宋"/>
                <w:bCs/>
                <w:szCs w:val="21"/>
              </w:rPr>
              <w:t>创新师资评价激励保障机制</w:t>
            </w:r>
          </w:p>
        </w:tc>
        <w:tc>
          <w:tcPr>
            <w:tcW w:w="3363" w:type="dxa"/>
            <w:vAlign w:val="center"/>
          </w:tcPr>
          <w:p>
            <w:pPr>
              <w:rPr>
                <w:rFonts w:ascii="仿宋" w:hAnsi="仿宋" w:eastAsia="仿宋" w:cs="仿宋"/>
                <w:bCs/>
                <w:szCs w:val="21"/>
              </w:rPr>
            </w:pPr>
            <w:r>
              <w:rPr>
                <w:rFonts w:hint="eastAsia" w:ascii="仿宋" w:hAnsi="仿宋" w:eastAsia="仿宋" w:cs="仿宋"/>
                <w:bCs/>
                <w:szCs w:val="21"/>
              </w:rPr>
              <w:t>建立师德考核负面清单制度；进一步完善人才招聘、职称评审、岗位聘任、考核评价系列制度；深化分配制度改革，探索分类评价模式</w:t>
            </w:r>
          </w:p>
        </w:tc>
        <w:tc>
          <w:tcPr>
            <w:tcW w:w="1559" w:type="dxa"/>
            <w:vAlign w:val="center"/>
          </w:tcPr>
          <w:p>
            <w:pPr>
              <w:jc w:val="center"/>
              <w:rPr>
                <w:rFonts w:ascii="仿宋" w:hAnsi="仿宋" w:eastAsia="仿宋" w:cs="仿宋"/>
                <w:bCs/>
                <w:szCs w:val="21"/>
              </w:rPr>
            </w:pPr>
            <w:r>
              <w:rPr>
                <w:rFonts w:hint="eastAsia" w:ascii="仿宋" w:hAnsi="仿宋" w:eastAsia="仿宋" w:cs="仿宋"/>
                <w:bCs/>
                <w:szCs w:val="21"/>
              </w:rPr>
              <w:t>人</w:t>
            </w:r>
            <w:r>
              <w:rPr>
                <w:rFonts w:ascii="仿宋" w:hAnsi="仿宋" w:eastAsia="仿宋" w:cs="仿宋"/>
                <w:bCs/>
                <w:szCs w:val="21"/>
              </w:rPr>
              <w:t>事处</w:t>
            </w:r>
          </w:p>
        </w:tc>
      </w:tr>
    </w:tbl>
    <w:p>
      <w:pPr>
        <w:spacing w:line="540" w:lineRule="exact"/>
        <w:ind w:firstLine="562" w:firstLineChars="200"/>
        <w:rPr>
          <w:rFonts w:ascii="仿宋" w:hAnsi="仿宋" w:eastAsia="仿宋"/>
          <w:b/>
          <w:bCs/>
          <w:sz w:val="28"/>
          <w:szCs w:val="28"/>
        </w:rPr>
      </w:pPr>
      <w:r>
        <w:rPr>
          <w:rFonts w:hint="eastAsia" w:ascii="仿宋" w:hAnsi="仿宋" w:eastAsia="仿宋"/>
          <w:b/>
          <w:bCs/>
          <w:sz w:val="28"/>
          <w:szCs w:val="28"/>
        </w:rPr>
        <w:t>（6）预期成效及资金测算</w:t>
      </w:r>
    </w:p>
    <w:tbl>
      <w:tblPr>
        <w:tblStyle w:val="16"/>
        <w:tblW w:w="0" w:type="auto"/>
        <w:jc w:val="center"/>
        <w:tblLayout w:type="autofit"/>
        <w:tblCellMar>
          <w:top w:w="15" w:type="dxa"/>
          <w:left w:w="15" w:type="dxa"/>
          <w:bottom w:w="15" w:type="dxa"/>
          <w:right w:w="15" w:type="dxa"/>
        </w:tblCellMar>
      </w:tblPr>
      <w:tblGrid>
        <w:gridCol w:w="610"/>
        <w:gridCol w:w="1969"/>
        <w:gridCol w:w="4279"/>
        <w:gridCol w:w="492"/>
        <w:gridCol w:w="493"/>
        <w:gridCol w:w="493"/>
      </w:tblGrid>
      <w:tr>
        <w:tblPrEx>
          <w:tblCellMar>
            <w:top w:w="15" w:type="dxa"/>
            <w:left w:w="15" w:type="dxa"/>
            <w:bottom w:w="15" w:type="dxa"/>
            <w:right w:w="15" w:type="dxa"/>
          </w:tblCellMar>
        </w:tblPrEx>
        <w:trPr>
          <w:trHeight w:val="301"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项目名称</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主要建设内容</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预期建设成效</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建设资金安排表（万元）</w:t>
            </w:r>
          </w:p>
        </w:tc>
      </w:tr>
      <w:tr>
        <w:tblPrEx>
          <w:tblCellMar>
            <w:top w:w="15" w:type="dxa"/>
            <w:left w:w="15" w:type="dxa"/>
            <w:bottom w:w="15" w:type="dxa"/>
            <w:right w:w="15" w:type="dxa"/>
          </w:tblCellMar>
        </w:tblPrEx>
        <w:trPr>
          <w:trHeight w:val="801"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jc w:val="center"/>
              <w:rPr>
                <w:rFonts w:ascii="仿宋" w:hAnsi="仿宋" w:eastAsia="仿宋" w:cs="仿宋"/>
                <w:b/>
                <w:bCs/>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jc w:val="center"/>
              <w:rPr>
                <w:rFonts w:ascii="仿宋" w:hAnsi="仿宋" w:eastAsia="仿宋" w:cs="仿宋"/>
                <w:b/>
                <w:bCs/>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jc w:val="center"/>
              <w:rPr>
                <w:rFonts w:ascii="仿宋" w:hAnsi="仿宋" w:eastAsia="仿宋" w:cs="仿宋"/>
                <w:b/>
                <w:bCs/>
                <w:color w:val="000000"/>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kern w:val="0"/>
                <w:szCs w:val="21"/>
                <w:lang w:bidi="ar"/>
              </w:rPr>
            </w:pPr>
            <w:r>
              <w:rPr>
                <w:rFonts w:hint="eastAsia" w:ascii="仿宋" w:hAnsi="仿宋" w:eastAsia="仿宋" w:cs="仿宋"/>
                <w:b/>
                <w:bCs/>
                <w:color w:val="000000"/>
                <w:kern w:val="0"/>
                <w:szCs w:val="21"/>
                <w:lang w:bidi="ar"/>
              </w:rPr>
              <w:t>2023年</w:t>
            </w:r>
          </w:p>
        </w:tc>
        <w:tc>
          <w:tcPr>
            <w:tcW w:w="0" w:type="auto"/>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2024年</w:t>
            </w:r>
          </w:p>
        </w:tc>
        <w:tc>
          <w:tcPr>
            <w:tcW w:w="0" w:type="auto"/>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2025年</w:t>
            </w:r>
          </w:p>
        </w:tc>
      </w:tr>
      <w:tr>
        <w:tblPrEx>
          <w:tblCellMar>
            <w:top w:w="15" w:type="dxa"/>
            <w:left w:w="15" w:type="dxa"/>
            <w:bottom w:w="15" w:type="dxa"/>
            <w:right w:w="15" w:type="dxa"/>
          </w:tblCellMar>
        </w:tblPrEx>
        <w:trPr>
          <w:trHeight w:val="450"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Cs w:val="21"/>
              </w:rPr>
            </w:pPr>
            <w:r>
              <w:rPr>
                <w:rFonts w:hint="eastAsia" w:ascii="仿宋" w:hAnsi="仿宋" w:eastAsia="仿宋" w:cs="仿宋"/>
                <w:b/>
                <w:bCs/>
                <w:color w:val="000000"/>
                <w:szCs w:val="21"/>
              </w:rPr>
              <w:t>教职工师德师风和教师发展制度建设</w:t>
            </w:r>
          </w:p>
        </w:tc>
        <w:tc>
          <w:tcPr>
            <w:tcW w:w="0" w:type="auto"/>
            <w:tcBorders>
              <w:top w:val="single" w:color="000000" w:sz="4" w:space="0"/>
              <w:left w:val="single" w:color="000000" w:sz="4" w:space="0"/>
              <w:bottom w:val="single" w:color="000000" w:sz="4" w:space="0"/>
              <w:right w:val="single" w:color="000000" w:sz="4" w:space="0"/>
            </w:tcBorders>
            <w:vAlign w:val="center"/>
          </w:tcPr>
          <w:p>
            <w:pPr>
              <w:jc w:val="left"/>
              <w:rPr>
                <w:rFonts w:ascii="仿宋" w:hAnsi="仿宋" w:eastAsia="仿宋" w:cs="仿宋"/>
                <w:color w:val="000000"/>
                <w:szCs w:val="21"/>
              </w:rPr>
            </w:pPr>
            <w:r>
              <w:rPr>
                <w:rFonts w:hint="eastAsia" w:ascii="仿宋" w:hAnsi="仿宋" w:eastAsia="仿宋" w:cs="仿宋"/>
                <w:color w:val="000000"/>
                <w:szCs w:val="21"/>
              </w:rPr>
              <w:t>完善师德师风配套制度、大力做深做实师德师风主题活动；完善教师发展各项配套制度、加快教师职业高质量发展；创新师资评价激励保障机制。</w:t>
            </w:r>
          </w:p>
        </w:tc>
        <w:tc>
          <w:tcPr>
            <w:tcW w:w="0" w:type="auto"/>
            <w:tcBorders>
              <w:top w:val="single" w:color="000000" w:sz="4" w:space="0"/>
              <w:left w:val="single" w:color="000000" w:sz="4" w:space="0"/>
              <w:bottom w:val="single" w:color="000000" w:sz="4" w:space="0"/>
              <w:right w:val="single" w:color="000000" w:sz="4" w:space="0"/>
            </w:tcBorders>
            <w:vAlign w:val="center"/>
          </w:tcPr>
          <w:p>
            <w:pPr>
              <w:jc w:val="left"/>
              <w:rPr>
                <w:rFonts w:ascii="仿宋" w:hAnsi="仿宋" w:eastAsia="仿宋" w:cs="仿宋"/>
                <w:color w:val="000000"/>
                <w:szCs w:val="21"/>
              </w:rPr>
            </w:pPr>
            <w:r>
              <w:rPr>
                <w:rFonts w:hint="eastAsia" w:ascii="仿宋" w:hAnsi="仿宋" w:eastAsia="仿宋" w:cs="仿宋"/>
                <w:color w:val="000000"/>
                <w:szCs w:val="21"/>
              </w:rPr>
              <w:t>以“四有”好老师为标准，持续加强师德师风建设，完善师德师风考核制度，全面落实师德师风负面清单，建立师德建设长效机制建造一支师德师风优良、爱岗敬业、业务精湛、乐于奉献的师资队伍；建立教师分级发展机制，完善教师发展配套制度和教师发展中心工作体系，设立二级学院分中心，形成学校教师发展中心（规划处）、二级学院分中心、专业教研室（专业带头人）三级教师发展工作格局，培养更多教学名师。</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Cs w:val="21"/>
              </w:rPr>
            </w:pPr>
            <w:r>
              <w:rPr>
                <w:rFonts w:hint="eastAsia" w:ascii="仿宋" w:hAnsi="仿宋" w:eastAsia="仿宋" w:cs="仿宋"/>
                <w:color w:val="000000"/>
                <w:szCs w:val="21"/>
              </w:rPr>
              <w:t>2</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Cs w:val="21"/>
              </w:rPr>
            </w:pPr>
            <w:r>
              <w:rPr>
                <w:rFonts w:hint="eastAsia" w:ascii="仿宋" w:hAnsi="仿宋" w:eastAsia="仿宋" w:cs="仿宋"/>
                <w:color w:val="000000"/>
                <w:szCs w:val="21"/>
              </w:rPr>
              <w:t>5</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Cs w:val="21"/>
              </w:rPr>
            </w:pPr>
            <w:r>
              <w:rPr>
                <w:rFonts w:hint="eastAsia" w:ascii="仿宋" w:hAnsi="仿宋" w:eastAsia="仿宋" w:cs="仿宋"/>
                <w:color w:val="000000"/>
                <w:szCs w:val="21"/>
              </w:rPr>
              <w:t>10</w:t>
            </w:r>
          </w:p>
        </w:tc>
      </w:tr>
    </w:tbl>
    <w:p>
      <w:pPr>
        <w:spacing w:line="540" w:lineRule="exact"/>
        <w:rPr>
          <w:rFonts w:ascii="仿宋" w:hAnsi="仿宋" w:eastAsia="仿宋"/>
          <w:b/>
          <w:bCs/>
          <w:sz w:val="28"/>
          <w:szCs w:val="28"/>
        </w:rPr>
      </w:pPr>
    </w:p>
    <w:p>
      <w:pPr>
        <w:pStyle w:val="4"/>
      </w:pPr>
      <w:bookmarkStart w:id="64" w:name="_Toc164347850"/>
      <w:r>
        <w:rPr>
          <w:rFonts w:hint="eastAsia"/>
        </w:rPr>
        <w:t>4.教职工绩效工资制度改革项目</w:t>
      </w:r>
      <w:bookmarkEnd w:id="64"/>
    </w:p>
    <w:p>
      <w:pPr>
        <w:spacing w:line="54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（1）必要性和可行性</w:t>
      </w:r>
    </w:p>
    <w:p>
      <w:pPr>
        <w:spacing w:line="54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职业院校大力实施绩效工资制度改革，以提高教师队伍素质为核心，以突出教师绩效为导向，着力构建导向明确、体系完善、符合教育教学和教师成长规律的教师绩效考核评价制度，</w:t>
      </w:r>
      <w:r>
        <w:rPr>
          <w:rFonts w:ascii="仿宋" w:hAnsi="仿宋" w:eastAsia="仿宋" w:cs="仿宋"/>
          <w:color w:val="000000"/>
          <w:sz w:val="28"/>
          <w:szCs w:val="28"/>
        </w:rPr>
        <w:t>通过合理的绩效评价机制，使教师的收入与工作表现直接挂钩，</w:t>
      </w:r>
      <w:r>
        <w:rPr>
          <w:rFonts w:hint="eastAsia" w:ascii="仿宋" w:hAnsi="仿宋" w:eastAsia="仿宋" w:cs="仿宋"/>
          <w:color w:val="000000"/>
          <w:sz w:val="28"/>
          <w:szCs w:val="28"/>
        </w:rPr>
        <w:t>能充分发挥绩效量化考核的评价、导向和激励作用，调动和激发广大教职工的工作积极性和创造性。</w:t>
      </w:r>
    </w:p>
    <w:p>
      <w:pPr>
        <w:spacing w:line="540" w:lineRule="exact"/>
        <w:ind w:firstLine="560" w:firstLineChars="200"/>
        <w:rPr>
          <w:rFonts w:ascii="仿宋" w:hAnsi="仿宋" w:eastAsia="仿宋" w:cs="仿宋"/>
          <w:color w:val="000000"/>
          <w:sz w:val="28"/>
          <w:szCs w:val="28"/>
        </w:rPr>
      </w:pPr>
      <w:r>
        <w:rPr>
          <w:rFonts w:ascii="仿宋" w:hAnsi="仿宋" w:eastAsia="仿宋" w:cs="仿宋"/>
          <w:color w:val="000000"/>
          <w:sz w:val="28"/>
          <w:szCs w:val="28"/>
        </w:rPr>
        <w:t>《深化新时代教育评价改革总体方案》</w:t>
      </w:r>
      <w:r>
        <w:rPr>
          <w:rFonts w:hint="eastAsia" w:ascii="仿宋" w:hAnsi="仿宋" w:eastAsia="仿宋" w:cs="仿宋"/>
          <w:color w:val="000000"/>
          <w:sz w:val="28"/>
          <w:szCs w:val="28"/>
        </w:rPr>
        <w:t>明确提出改革教师评价，推进践行教书育人使命，</w:t>
      </w:r>
      <w:r>
        <w:rPr>
          <w:rFonts w:ascii="仿宋" w:hAnsi="仿宋" w:eastAsia="仿宋" w:cs="仿宋"/>
          <w:color w:val="000000"/>
          <w:sz w:val="28"/>
          <w:szCs w:val="28"/>
        </w:rPr>
        <w:t>突出教育教学实绩，把认真履行教育教学职责作为评价教师的基本要求，引导教师上好每一节课、关爱每一个学生，为学校教职工绩效工资制度改革提供了指导。</w:t>
      </w:r>
    </w:p>
    <w:p>
      <w:pPr>
        <w:spacing w:line="54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（2）拟解决的关键问题</w:t>
      </w:r>
    </w:p>
    <w:p>
      <w:pPr>
        <w:spacing w:line="54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重塑绩效考核管理理念：分析原有绩效考核实践，对于绩效考核中暴露出来的问题，进行重点突破，力求实效。在全校范围内树立多劳多得，优劳优得理念。</w:t>
      </w:r>
    </w:p>
    <w:p>
      <w:pPr>
        <w:spacing w:line="54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统一标准，夯实考核基础。建立健全涵盖全校各个层次、不同类别的岗位工作职责，制定出统一的、通用的岗位标准，为绩效考核提供依据。</w:t>
      </w:r>
    </w:p>
    <w:p>
      <w:pPr>
        <w:spacing w:line="54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树立正确的人才观，提升教职工绩效考核的科学性和人性化。为教师的成长与发展提供资源和平台保障，最大限度地释放人才的潜能，真正做到人尽其才、才尽其用。</w:t>
      </w:r>
    </w:p>
    <w:p>
      <w:pPr>
        <w:spacing w:line="54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（3）建设目标</w:t>
      </w:r>
    </w:p>
    <w:p>
      <w:pPr>
        <w:spacing w:line="54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建立适应创新强校体制的绩效考核评价机制，完善各项绩效评价分配制度，修订绩效工资实施方案，在核定的总量内自主确定基础性与奖励性绩效工资比例，真正实现多劳多得，优劳优得。</w:t>
      </w:r>
    </w:p>
    <w:p>
      <w:pPr>
        <w:spacing w:line="54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（4）重点建设任务</w:t>
      </w:r>
    </w:p>
    <w:p>
      <w:pPr>
        <w:spacing w:line="54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通过对比分析，重新明确教职工岗位绩效考核体系的设计原则和思路，进一步完善评价机制，规范学校的教职工岗位绩效考核工作流程，强化教职工的责任感和质量意识，帮助教职工改进工作，提高自身能力和素质，并为学校制定晋升职称职务、奖惩政策及培训计划提供依据。</w:t>
      </w:r>
    </w:p>
    <w:p>
      <w:pPr>
        <w:spacing w:line="54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（5）建设计划</w:t>
      </w:r>
    </w:p>
    <w:p>
      <w:pPr>
        <w:spacing w:line="540" w:lineRule="exact"/>
        <w:ind w:firstLine="562" w:firstLineChars="200"/>
        <w:rPr>
          <w:rFonts w:ascii="仿宋" w:hAnsi="仿宋" w:eastAsia="仿宋" w:cs="仿宋"/>
          <w:color w:val="000000"/>
          <w:sz w:val="28"/>
          <w:szCs w:val="28"/>
        </w:rPr>
      </w:pPr>
      <w:r>
        <w:rPr>
          <w:rFonts w:hint="eastAsia" w:ascii="仿宋" w:hAnsi="仿宋" w:eastAsia="仿宋" w:cs="仿宋"/>
          <w:b/>
          <w:bCs/>
          <w:color w:val="000000"/>
          <w:sz w:val="28"/>
          <w:szCs w:val="28"/>
        </w:rPr>
        <w:t>① 完善基于分类评价与管理的教职工绩效考核标准。</w:t>
      </w:r>
      <w:r>
        <w:rPr>
          <w:rFonts w:hint="eastAsia" w:ascii="仿宋" w:hAnsi="仿宋" w:eastAsia="仿宋" w:cs="仿宋"/>
          <w:color w:val="000000"/>
          <w:sz w:val="28"/>
          <w:szCs w:val="28"/>
        </w:rPr>
        <w:t>充分考虑教师成长与职业发展过程中的差异性和规律性，完善基于分类评价与管理的教职工绩效考核标准，关注学科发展的特点及差异性，关注不同类型岗位与级别的特点及差异性，关注不同发展阶段教师成长特点的差异性，区分考核标准。</w:t>
      </w:r>
    </w:p>
    <w:p>
      <w:pPr>
        <w:spacing w:line="540" w:lineRule="exact"/>
        <w:ind w:firstLine="562" w:firstLineChars="200"/>
        <w:rPr>
          <w:rFonts w:ascii="仿宋" w:hAnsi="仿宋" w:eastAsia="仿宋" w:cs="仿宋"/>
          <w:color w:val="000000"/>
          <w:sz w:val="28"/>
          <w:szCs w:val="28"/>
        </w:rPr>
      </w:pPr>
      <w:r>
        <w:rPr>
          <w:rFonts w:hint="eastAsia" w:ascii="仿宋" w:hAnsi="仿宋" w:eastAsia="仿宋" w:cs="仿宋"/>
          <w:b/>
          <w:bCs/>
          <w:color w:val="000000"/>
          <w:sz w:val="28"/>
          <w:szCs w:val="28"/>
        </w:rPr>
        <w:t>② 建立基于“靶向精准考核”的教职工绩效评价模式。</w:t>
      </w:r>
      <w:r>
        <w:rPr>
          <w:rFonts w:hint="eastAsia" w:ascii="仿宋" w:hAnsi="仿宋" w:eastAsia="仿宋" w:cs="仿宋"/>
          <w:color w:val="000000"/>
          <w:sz w:val="28"/>
          <w:szCs w:val="28"/>
        </w:rPr>
        <w:t>做到考核的时候有靶可依，精准考核，以实现调动大多数教职工积极性的目的。</w:t>
      </w:r>
    </w:p>
    <w:p>
      <w:pPr>
        <w:spacing w:line="540" w:lineRule="exact"/>
        <w:ind w:firstLine="562" w:firstLineChars="200"/>
        <w:rPr>
          <w:rFonts w:ascii="仿宋" w:hAnsi="仿宋" w:eastAsia="仿宋" w:cs="仿宋"/>
          <w:color w:val="000000"/>
          <w:sz w:val="28"/>
          <w:szCs w:val="28"/>
        </w:rPr>
      </w:pPr>
      <w:r>
        <w:rPr>
          <w:rFonts w:hint="eastAsia" w:ascii="仿宋" w:hAnsi="仿宋" w:eastAsia="仿宋" w:cs="仿宋"/>
          <w:b/>
          <w:bCs/>
          <w:color w:val="000000"/>
          <w:sz w:val="28"/>
          <w:szCs w:val="28"/>
        </w:rPr>
        <w:t>③ 尽快建设教职工绩效考核与管理的网络平台。</w:t>
      </w:r>
      <w:r>
        <w:rPr>
          <w:rFonts w:hint="eastAsia" w:ascii="仿宋" w:hAnsi="仿宋" w:eastAsia="仿宋" w:cs="仿宋"/>
          <w:color w:val="000000"/>
          <w:sz w:val="28"/>
          <w:szCs w:val="28"/>
        </w:rPr>
        <w:t>搭建考核系统平台，设计开发绩效考核的系统与信息共享平台，将绩效考核的指标、评价方法、评价标准等与系统数据库进行对接。</w:t>
      </w:r>
    </w:p>
    <w:p>
      <w:pPr>
        <w:spacing w:line="540" w:lineRule="exact"/>
        <w:ind w:firstLine="562" w:firstLineChars="200"/>
        <w:rPr>
          <w:rFonts w:ascii="仿宋" w:hAnsi="仿宋" w:eastAsia="仿宋" w:cs="仿宋"/>
          <w:color w:val="000000"/>
          <w:sz w:val="28"/>
          <w:szCs w:val="28"/>
        </w:rPr>
      </w:pPr>
      <w:r>
        <w:rPr>
          <w:rFonts w:hint="eastAsia" w:ascii="仿宋" w:hAnsi="仿宋" w:eastAsia="仿宋" w:cs="仿宋"/>
          <w:b/>
          <w:bCs/>
          <w:color w:val="000000"/>
          <w:sz w:val="28"/>
          <w:szCs w:val="28"/>
        </w:rPr>
        <w:t>④ 建设一支专业能力强，素质水平高的绩效考核管理队伍。</w:t>
      </w:r>
      <w:r>
        <w:rPr>
          <w:rFonts w:hint="eastAsia" w:ascii="仿宋" w:hAnsi="仿宋" w:eastAsia="仿宋" w:cs="仿宋"/>
          <w:color w:val="000000"/>
          <w:sz w:val="28"/>
          <w:szCs w:val="28"/>
        </w:rPr>
        <w:t>通过构建专门的管理团队对学校教职工的绩效考核进行统筹，从而构建一整套绩效考核体系，并有针对性地设计考核指标以及考核方式，提高绩效考核的效果、效率和效益。</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2166"/>
        <w:gridCol w:w="3363"/>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lang w:eastAsia="en-US"/>
              </w:rPr>
            </w:pPr>
            <w:r>
              <w:rPr>
                <w:rFonts w:hint="eastAsia" w:ascii="仿宋" w:hAnsi="仿宋" w:eastAsia="仿宋" w:cs="仿宋"/>
                <w:b/>
                <w:bCs/>
                <w:color w:val="000000"/>
                <w:kern w:val="0"/>
                <w:szCs w:val="21"/>
                <w:lang w:eastAsia="en-US"/>
              </w:rPr>
              <w:t>年度</w:t>
            </w:r>
          </w:p>
        </w:tc>
        <w:tc>
          <w:tcPr>
            <w:tcW w:w="2166" w:type="dxa"/>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lang w:eastAsia="en-US"/>
              </w:rPr>
            </w:pPr>
            <w:r>
              <w:rPr>
                <w:rFonts w:hint="eastAsia" w:ascii="仿宋" w:hAnsi="仿宋" w:eastAsia="仿宋" w:cs="仿宋"/>
                <w:b/>
                <w:bCs/>
                <w:color w:val="000000"/>
                <w:kern w:val="0"/>
                <w:szCs w:val="21"/>
                <w:lang w:eastAsia="en-US"/>
              </w:rPr>
              <w:t>建设任务</w:t>
            </w:r>
          </w:p>
        </w:tc>
        <w:tc>
          <w:tcPr>
            <w:tcW w:w="3363" w:type="dxa"/>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lang w:eastAsia="en-US"/>
              </w:rPr>
            </w:pPr>
            <w:r>
              <w:rPr>
                <w:rFonts w:hint="eastAsia" w:ascii="仿宋" w:hAnsi="仿宋" w:eastAsia="仿宋" w:cs="仿宋"/>
                <w:b/>
                <w:bCs/>
                <w:color w:val="000000"/>
                <w:kern w:val="0"/>
                <w:szCs w:val="21"/>
                <w:lang w:eastAsia="en-US"/>
              </w:rPr>
              <w:t>建设内容</w:t>
            </w:r>
          </w:p>
        </w:tc>
        <w:tc>
          <w:tcPr>
            <w:tcW w:w="1559" w:type="dxa"/>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lang w:eastAsia="en-US"/>
              </w:rPr>
            </w:pPr>
            <w:r>
              <w:rPr>
                <w:rFonts w:hint="eastAsia" w:ascii="仿宋" w:hAnsi="仿宋" w:eastAsia="仿宋" w:cs="仿宋"/>
                <w:b/>
                <w:bCs/>
                <w:color w:val="000000"/>
                <w:kern w:val="0"/>
                <w:szCs w:val="21"/>
                <w:lang w:eastAsia="en-US"/>
              </w:rPr>
              <w:t>负责部门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restart"/>
            <w:vAlign w:val="center"/>
          </w:tcPr>
          <w:p>
            <w:pPr>
              <w:jc w:val="center"/>
              <w:rPr>
                <w:rFonts w:ascii="仿宋" w:hAnsi="仿宋" w:eastAsia="仿宋" w:cs="仿宋"/>
                <w:b/>
                <w:bCs/>
                <w:color w:val="000000"/>
                <w:szCs w:val="21"/>
              </w:rPr>
            </w:pPr>
            <w:r>
              <w:rPr>
                <w:rFonts w:hint="eastAsia" w:ascii="仿宋" w:hAnsi="仿宋" w:eastAsia="仿宋" w:cs="仿宋"/>
                <w:b/>
                <w:bCs/>
                <w:color w:val="000000"/>
                <w:szCs w:val="21"/>
              </w:rPr>
              <w:t>2023</w:t>
            </w:r>
          </w:p>
        </w:tc>
        <w:tc>
          <w:tcPr>
            <w:tcW w:w="2166" w:type="dxa"/>
            <w:vAlign w:val="center"/>
          </w:tcPr>
          <w:p>
            <w:pPr>
              <w:jc w:val="center"/>
              <w:rPr>
                <w:rFonts w:ascii="仿宋" w:hAnsi="仿宋" w:eastAsia="仿宋" w:cs="仿宋"/>
                <w:color w:val="000000"/>
                <w:szCs w:val="21"/>
              </w:rPr>
            </w:pPr>
            <w:r>
              <w:rPr>
                <w:rFonts w:hint="eastAsia" w:ascii="仿宋" w:hAnsi="仿宋" w:eastAsia="仿宋" w:cs="仿宋"/>
                <w:bCs/>
                <w:szCs w:val="21"/>
              </w:rPr>
              <w:t>完善基于分类评价与管理的教职工绩效考核标准</w:t>
            </w:r>
          </w:p>
        </w:tc>
        <w:tc>
          <w:tcPr>
            <w:tcW w:w="3363" w:type="dxa"/>
            <w:vAlign w:val="center"/>
          </w:tcPr>
          <w:p>
            <w:pPr>
              <w:rPr>
                <w:rFonts w:ascii="仿宋" w:hAnsi="仿宋" w:eastAsia="仿宋" w:cs="仿宋"/>
                <w:bCs/>
                <w:szCs w:val="21"/>
              </w:rPr>
            </w:pPr>
            <w:r>
              <w:rPr>
                <w:rFonts w:hint="eastAsia" w:ascii="仿宋" w:hAnsi="仿宋" w:eastAsia="仿宋" w:cs="仿宋"/>
                <w:bCs/>
                <w:szCs w:val="21"/>
              </w:rPr>
              <w:t>充分考虑教师成长与职业发展过程中的差异性和规律性，完善基于分类评价与管理的教职工绩效考核标准</w:t>
            </w:r>
          </w:p>
        </w:tc>
        <w:tc>
          <w:tcPr>
            <w:tcW w:w="1559" w:type="dxa"/>
            <w:vAlign w:val="center"/>
          </w:tcPr>
          <w:p>
            <w:pPr>
              <w:jc w:val="center"/>
              <w:rPr>
                <w:rFonts w:ascii="仿宋" w:hAnsi="仿宋" w:eastAsia="仿宋" w:cs="仿宋"/>
                <w:bCs/>
                <w:szCs w:val="21"/>
              </w:rPr>
            </w:pPr>
            <w:r>
              <w:rPr>
                <w:rFonts w:ascii="仿宋" w:hAnsi="仿宋" w:eastAsia="仿宋" w:cs="仿宋"/>
                <w:bCs/>
                <w:szCs w:val="21"/>
              </w:rPr>
              <w:t>人事处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continue"/>
            <w:vAlign w:val="center"/>
          </w:tcPr>
          <w:p>
            <w:pPr>
              <w:jc w:val="center"/>
              <w:rPr>
                <w:rFonts w:ascii="仿宋" w:hAnsi="仿宋" w:eastAsia="仿宋" w:cs="仿宋"/>
                <w:b/>
                <w:bCs/>
                <w:color w:val="000000"/>
                <w:szCs w:val="21"/>
              </w:rPr>
            </w:pPr>
          </w:p>
        </w:tc>
        <w:tc>
          <w:tcPr>
            <w:tcW w:w="2166"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建立基于“靶向精准考核”的教职工绩效评价模式</w:t>
            </w:r>
          </w:p>
        </w:tc>
        <w:tc>
          <w:tcPr>
            <w:tcW w:w="3363" w:type="dxa"/>
            <w:vAlign w:val="center"/>
          </w:tcPr>
          <w:p>
            <w:pPr>
              <w:rPr>
                <w:rFonts w:ascii="仿宋" w:hAnsi="仿宋" w:eastAsia="仿宋" w:cs="仿宋"/>
                <w:bCs/>
                <w:szCs w:val="21"/>
              </w:rPr>
            </w:pPr>
            <w:r>
              <w:rPr>
                <w:rFonts w:hint="eastAsia" w:ascii="仿宋" w:hAnsi="仿宋" w:eastAsia="仿宋" w:cs="仿宋"/>
                <w:bCs/>
                <w:szCs w:val="21"/>
              </w:rPr>
              <w:t>制定评价实施细则，做到考核的时候有靶可依，精准考核</w:t>
            </w:r>
          </w:p>
        </w:tc>
        <w:tc>
          <w:tcPr>
            <w:tcW w:w="1559" w:type="dxa"/>
            <w:vAlign w:val="center"/>
          </w:tcPr>
          <w:p>
            <w:pPr>
              <w:jc w:val="center"/>
              <w:rPr>
                <w:rFonts w:ascii="仿宋" w:hAnsi="仿宋" w:eastAsia="仿宋" w:cs="仿宋"/>
                <w:bCs/>
                <w:szCs w:val="21"/>
              </w:rPr>
            </w:pPr>
            <w:r>
              <w:rPr>
                <w:rFonts w:ascii="仿宋" w:hAnsi="仿宋" w:eastAsia="仿宋" w:cs="仿宋"/>
                <w:bCs/>
                <w:szCs w:val="21"/>
              </w:rPr>
              <w:t>人事处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continue"/>
            <w:vAlign w:val="center"/>
          </w:tcPr>
          <w:p>
            <w:pPr>
              <w:jc w:val="center"/>
              <w:rPr>
                <w:rFonts w:ascii="仿宋" w:hAnsi="仿宋" w:eastAsia="仿宋" w:cs="仿宋"/>
                <w:b/>
                <w:bCs/>
                <w:color w:val="000000"/>
                <w:szCs w:val="21"/>
              </w:rPr>
            </w:pPr>
          </w:p>
        </w:tc>
        <w:tc>
          <w:tcPr>
            <w:tcW w:w="2166"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建设教职工绩效考核与管理的网络平台。</w:t>
            </w:r>
          </w:p>
        </w:tc>
        <w:tc>
          <w:tcPr>
            <w:tcW w:w="3363" w:type="dxa"/>
            <w:vAlign w:val="center"/>
          </w:tcPr>
          <w:p>
            <w:pPr>
              <w:rPr>
                <w:rFonts w:ascii="仿宋" w:hAnsi="仿宋" w:eastAsia="仿宋" w:cs="仿宋"/>
                <w:bCs/>
                <w:szCs w:val="21"/>
              </w:rPr>
            </w:pPr>
            <w:r>
              <w:rPr>
                <w:rFonts w:hint="eastAsia" w:ascii="仿宋" w:hAnsi="仿宋" w:eastAsia="仿宋" w:cs="仿宋"/>
                <w:bCs/>
                <w:szCs w:val="21"/>
              </w:rPr>
              <w:t>搭建考核系统平台，设计开发绩效考核的系统与信息共享平台</w:t>
            </w:r>
          </w:p>
        </w:tc>
        <w:tc>
          <w:tcPr>
            <w:tcW w:w="1559" w:type="dxa"/>
            <w:vAlign w:val="center"/>
          </w:tcPr>
          <w:p>
            <w:pPr>
              <w:jc w:val="center"/>
              <w:rPr>
                <w:rFonts w:ascii="仿宋" w:hAnsi="仿宋" w:eastAsia="仿宋" w:cs="仿宋"/>
                <w:bCs/>
                <w:szCs w:val="21"/>
              </w:rPr>
            </w:pPr>
            <w:r>
              <w:rPr>
                <w:rFonts w:ascii="仿宋" w:hAnsi="仿宋" w:eastAsia="仿宋" w:cs="仿宋"/>
                <w:bCs/>
                <w:szCs w:val="21"/>
              </w:rPr>
              <w:t>人事处、信息技术中心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restart"/>
            <w:vAlign w:val="center"/>
          </w:tcPr>
          <w:p>
            <w:pPr>
              <w:jc w:val="center"/>
              <w:rPr>
                <w:rFonts w:ascii="仿宋" w:hAnsi="仿宋" w:eastAsia="仿宋" w:cs="仿宋"/>
                <w:b/>
                <w:bCs/>
                <w:color w:val="000000"/>
                <w:szCs w:val="21"/>
              </w:rPr>
            </w:pPr>
            <w:r>
              <w:rPr>
                <w:rFonts w:hint="eastAsia" w:ascii="仿宋" w:hAnsi="仿宋" w:eastAsia="仿宋" w:cs="仿宋"/>
                <w:b/>
                <w:bCs/>
                <w:color w:val="000000"/>
                <w:szCs w:val="21"/>
              </w:rPr>
              <w:t>2024</w:t>
            </w:r>
          </w:p>
        </w:tc>
        <w:tc>
          <w:tcPr>
            <w:tcW w:w="2166" w:type="dxa"/>
            <w:vAlign w:val="center"/>
          </w:tcPr>
          <w:p>
            <w:pPr>
              <w:jc w:val="center"/>
              <w:rPr>
                <w:rFonts w:ascii="仿宋" w:hAnsi="仿宋" w:eastAsia="仿宋" w:cs="仿宋"/>
                <w:color w:val="000000"/>
                <w:szCs w:val="21"/>
              </w:rPr>
            </w:pPr>
            <w:r>
              <w:rPr>
                <w:rFonts w:hint="eastAsia" w:ascii="仿宋" w:hAnsi="仿宋" w:eastAsia="仿宋" w:cs="仿宋"/>
                <w:bCs/>
                <w:color w:val="000000"/>
                <w:szCs w:val="21"/>
              </w:rPr>
              <w:t>完善基于分类评价与管理的教职工绩效考核标准</w:t>
            </w:r>
          </w:p>
        </w:tc>
        <w:tc>
          <w:tcPr>
            <w:tcW w:w="3363" w:type="dxa"/>
            <w:vAlign w:val="center"/>
          </w:tcPr>
          <w:p>
            <w:pPr>
              <w:rPr>
                <w:rFonts w:ascii="仿宋" w:hAnsi="仿宋" w:eastAsia="仿宋" w:cs="仿宋"/>
                <w:bCs/>
                <w:szCs w:val="21"/>
              </w:rPr>
            </w:pPr>
            <w:r>
              <w:rPr>
                <w:rFonts w:hint="eastAsia" w:ascii="仿宋" w:hAnsi="仿宋" w:eastAsia="仿宋" w:cs="仿宋"/>
                <w:bCs/>
                <w:szCs w:val="21"/>
              </w:rPr>
              <w:t>关注学科发展的特点及差异性，关注不同类型岗位与级别的特点及差异性，关注不同发展阶段教师成长特点的差异性，区分考核标准，实施</w:t>
            </w:r>
            <w:r>
              <w:rPr>
                <w:rFonts w:ascii="仿宋" w:hAnsi="仿宋" w:eastAsia="仿宋" w:cs="仿宋"/>
                <w:bCs/>
                <w:szCs w:val="21"/>
              </w:rPr>
              <w:t>分类评价绩效考核制度</w:t>
            </w:r>
          </w:p>
        </w:tc>
        <w:tc>
          <w:tcPr>
            <w:tcW w:w="1559" w:type="dxa"/>
            <w:vAlign w:val="center"/>
          </w:tcPr>
          <w:p>
            <w:pPr>
              <w:jc w:val="center"/>
              <w:rPr>
                <w:rFonts w:ascii="仿宋" w:hAnsi="仿宋" w:eastAsia="仿宋" w:cs="仿宋"/>
                <w:bCs/>
                <w:szCs w:val="21"/>
              </w:rPr>
            </w:pPr>
            <w:r>
              <w:rPr>
                <w:rFonts w:ascii="仿宋" w:hAnsi="仿宋" w:eastAsia="仿宋" w:cs="仿宋"/>
                <w:bCs/>
                <w:szCs w:val="21"/>
              </w:rPr>
              <w:t>人事处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continue"/>
            <w:vAlign w:val="center"/>
          </w:tcPr>
          <w:p>
            <w:pPr>
              <w:jc w:val="center"/>
              <w:rPr>
                <w:rFonts w:ascii="仿宋" w:hAnsi="仿宋" w:eastAsia="仿宋" w:cs="仿宋"/>
                <w:b/>
                <w:bCs/>
                <w:color w:val="000000"/>
                <w:szCs w:val="21"/>
              </w:rPr>
            </w:pPr>
          </w:p>
        </w:tc>
        <w:tc>
          <w:tcPr>
            <w:tcW w:w="2166"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建设教职工绩效考核与管理的网络平台。</w:t>
            </w:r>
          </w:p>
        </w:tc>
        <w:tc>
          <w:tcPr>
            <w:tcW w:w="3363" w:type="dxa"/>
            <w:vAlign w:val="center"/>
          </w:tcPr>
          <w:p>
            <w:pPr>
              <w:rPr>
                <w:rFonts w:ascii="仿宋" w:hAnsi="仿宋" w:eastAsia="仿宋" w:cs="仿宋"/>
                <w:color w:val="000000"/>
                <w:szCs w:val="21"/>
              </w:rPr>
            </w:pPr>
            <w:r>
              <w:rPr>
                <w:rFonts w:hint="eastAsia" w:ascii="仿宋" w:hAnsi="仿宋" w:eastAsia="仿宋" w:cs="仿宋"/>
                <w:bCs/>
                <w:color w:val="000000"/>
                <w:szCs w:val="21"/>
              </w:rPr>
              <w:t>完善评价实施细则，确保考核有靶可依，精准考核。</w:t>
            </w:r>
          </w:p>
        </w:tc>
        <w:tc>
          <w:tcPr>
            <w:tcW w:w="1559" w:type="dxa"/>
            <w:vAlign w:val="center"/>
          </w:tcPr>
          <w:p>
            <w:pPr>
              <w:jc w:val="center"/>
              <w:rPr>
                <w:rFonts w:ascii="仿宋" w:hAnsi="仿宋" w:eastAsia="仿宋" w:cs="仿宋"/>
                <w:color w:val="000000"/>
                <w:szCs w:val="21"/>
              </w:rPr>
            </w:pPr>
            <w:r>
              <w:rPr>
                <w:rFonts w:ascii="仿宋" w:hAnsi="仿宋" w:eastAsia="仿宋" w:cs="仿宋"/>
                <w:color w:val="000000"/>
                <w:szCs w:val="21"/>
              </w:rPr>
              <w:t>人事处、信息技术中心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restart"/>
            <w:vAlign w:val="center"/>
          </w:tcPr>
          <w:p>
            <w:pPr>
              <w:jc w:val="center"/>
              <w:rPr>
                <w:rFonts w:ascii="仿宋" w:hAnsi="仿宋" w:eastAsia="仿宋" w:cs="仿宋"/>
                <w:b/>
                <w:bCs/>
                <w:color w:val="000000"/>
                <w:szCs w:val="21"/>
              </w:rPr>
            </w:pPr>
            <w:r>
              <w:rPr>
                <w:rFonts w:hint="eastAsia" w:ascii="仿宋" w:hAnsi="仿宋" w:eastAsia="仿宋" w:cs="仿宋"/>
                <w:b/>
                <w:bCs/>
                <w:color w:val="000000"/>
                <w:szCs w:val="21"/>
              </w:rPr>
              <w:t>2025</w:t>
            </w:r>
          </w:p>
        </w:tc>
        <w:tc>
          <w:tcPr>
            <w:tcW w:w="2166" w:type="dxa"/>
            <w:vAlign w:val="center"/>
          </w:tcPr>
          <w:p>
            <w:pPr>
              <w:jc w:val="center"/>
              <w:rPr>
                <w:rFonts w:ascii="仿宋" w:hAnsi="仿宋" w:eastAsia="仿宋" w:cs="仿宋"/>
                <w:color w:val="000000"/>
                <w:szCs w:val="21"/>
              </w:rPr>
            </w:pPr>
            <w:r>
              <w:rPr>
                <w:rFonts w:hint="eastAsia" w:ascii="仿宋" w:hAnsi="仿宋" w:eastAsia="仿宋" w:cs="仿宋"/>
                <w:bCs/>
                <w:color w:val="000000"/>
                <w:szCs w:val="21"/>
              </w:rPr>
              <w:t>完善基于分类评价与管理的教职工绩效考核标准</w:t>
            </w:r>
          </w:p>
        </w:tc>
        <w:tc>
          <w:tcPr>
            <w:tcW w:w="3363" w:type="dxa"/>
            <w:vAlign w:val="center"/>
          </w:tcPr>
          <w:p>
            <w:pPr>
              <w:rPr>
                <w:rFonts w:ascii="仿宋" w:hAnsi="仿宋" w:eastAsia="仿宋" w:cs="仿宋"/>
                <w:color w:val="000000"/>
                <w:szCs w:val="21"/>
              </w:rPr>
            </w:pPr>
            <w:r>
              <w:rPr>
                <w:rFonts w:ascii="仿宋" w:hAnsi="仿宋" w:eastAsia="仿宋" w:cs="仿宋"/>
                <w:color w:val="000000"/>
                <w:szCs w:val="21"/>
              </w:rPr>
              <w:t>优化完善分类评价绩效考核制度。</w:t>
            </w:r>
          </w:p>
        </w:tc>
        <w:tc>
          <w:tcPr>
            <w:tcW w:w="1559" w:type="dxa"/>
            <w:vAlign w:val="center"/>
          </w:tcPr>
          <w:p>
            <w:pPr>
              <w:jc w:val="center"/>
              <w:rPr>
                <w:rFonts w:ascii="仿宋" w:hAnsi="仿宋" w:eastAsia="仿宋" w:cs="仿宋"/>
                <w:color w:val="000000"/>
                <w:szCs w:val="21"/>
              </w:rPr>
            </w:pPr>
            <w:r>
              <w:rPr>
                <w:rFonts w:ascii="仿宋" w:hAnsi="仿宋" w:eastAsia="仿宋" w:cs="仿宋"/>
                <w:color w:val="000000"/>
                <w:szCs w:val="21"/>
              </w:rPr>
              <w:t>人事处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continue"/>
            <w:vAlign w:val="center"/>
          </w:tcPr>
          <w:p>
            <w:pPr>
              <w:jc w:val="center"/>
              <w:rPr>
                <w:rFonts w:ascii="仿宋" w:hAnsi="仿宋" w:eastAsia="仿宋" w:cs="仿宋"/>
                <w:color w:val="000000"/>
                <w:szCs w:val="21"/>
              </w:rPr>
            </w:pPr>
          </w:p>
        </w:tc>
        <w:tc>
          <w:tcPr>
            <w:tcW w:w="2166"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建设一支专业能力强，素质水平高的绩效考核管理队伍</w:t>
            </w:r>
          </w:p>
        </w:tc>
        <w:tc>
          <w:tcPr>
            <w:tcW w:w="3363" w:type="dxa"/>
            <w:vAlign w:val="center"/>
          </w:tcPr>
          <w:p>
            <w:pPr>
              <w:rPr>
                <w:rFonts w:ascii="仿宋" w:hAnsi="仿宋" w:eastAsia="仿宋" w:cs="仿宋"/>
                <w:color w:val="000000"/>
                <w:szCs w:val="21"/>
              </w:rPr>
            </w:pPr>
            <w:r>
              <w:rPr>
                <w:rFonts w:hint="eastAsia" w:ascii="仿宋" w:hAnsi="仿宋" w:eastAsia="仿宋" w:cs="仿宋"/>
                <w:color w:val="000000"/>
                <w:szCs w:val="21"/>
              </w:rPr>
              <w:t>构建专门的管理团队对学校教职工的绩效考核进行统筹</w:t>
            </w:r>
          </w:p>
        </w:tc>
        <w:tc>
          <w:tcPr>
            <w:tcW w:w="1559" w:type="dxa"/>
            <w:vAlign w:val="center"/>
          </w:tcPr>
          <w:p>
            <w:pPr>
              <w:jc w:val="center"/>
              <w:rPr>
                <w:rFonts w:ascii="仿宋" w:hAnsi="仿宋" w:eastAsia="仿宋" w:cs="仿宋"/>
                <w:color w:val="000000"/>
                <w:szCs w:val="21"/>
              </w:rPr>
            </w:pPr>
            <w:r>
              <w:rPr>
                <w:rFonts w:ascii="仿宋" w:hAnsi="仿宋" w:eastAsia="仿宋" w:cs="仿宋"/>
                <w:color w:val="000000"/>
                <w:szCs w:val="21"/>
              </w:rPr>
              <w:t>人事处</w:t>
            </w:r>
          </w:p>
        </w:tc>
      </w:tr>
    </w:tbl>
    <w:p>
      <w:pPr>
        <w:spacing w:line="360" w:lineRule="auto"/>
        <w:ind w:firstLine="562" w:firstLineChars="200"/>
        <w:rPr>
          <w:rFonts w:ascii="仿宋" w:hAnsi="仿宋" w:eastAsia="仿宋" w:cs="仿宋"/>
          <w:b/>
          <w:bCs/>
          <w:sz w:val="28"/>
          <w:szCs w:val="28"/>
        </w:rPr>
      </w:pPr>
      <w:r>
        <w:rPr>
          <w:rFonts w:hint="eastAsia" w:ascii="仿宋" w:hAnsi="仿宋" w:eastAsia="仿宋" w:cs="仿宋"/>
          <w:b/>
          <w:bCs/>
          <w:sz w:val="28"/>
          <w:szCs w:val="28"/>
        </w:rPr>
        <w:t>（6）预期成效及资金测算</w:t>
      </w:r>
    </w:p>
    <w:tbl>
      <w:tblPr>
        <w:tblStyle w:val="16"/>
        <w:tblW w:w="0" w:type="auto"/>
        <w:jc w:val="center"/>
        <w:tblLayout w:type="autofit"/>
        <w:tblCellMar>
          <w:top w:w="15" w:type="dxa"/>
          <w:left w:w="15" w:type="dxa"/>
          <w:bottom w:w="15" w:type="dxa"/>
          <w:right w:w="15" w:type="dxa"/>
        </w:tblCellMar>
      </w:tblPr>
      <w:tblGrid>
        <w:gridCol w:w="686"/>
        <w:gridCol w:w="2669"/>
        <w:gridCol w:w="3445"/>
        <w:gridCol w:w="512"/>
        <w:gridCol w:w="512"/>
        <w:gridCol w:w="512"/>
      </w:tblGrid>
      <w:tr>
        <w:tblPrEx>
          <w:tblCellMar>
            <w:top w:w="15" w:type="dxa"/>
            <w:left w:w="15" w:type="dxa"/>
            <w:bottom w:w="15" w:type="dxa"/>
            <w:right w:w="15" w:type="dxa"/>
          </w:tblCellMar>
        </w:tblPrEx>
        <w:trPr>
          <w:trHeight w:val="301"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项目名称</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主要建设内容</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预期建设成效</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建设资金安排表（万元）</w:t>
            </w:r>
          </w:p>
        </w:tc>
      </w:tr>
      <w:tr>
        <w:tblPrEx>
          <w:tblCellMar>
            <w:top w:w="15" w:type="dxa"/>
            <w:left w:w="15" w:type="dxa"/>
            <w:bottom w:w="15" w:type="dxa"/>
            <w:right w:w="15" w:type="dxa"/>
          </w:tblCellMar>
        </w:tblPrEx>
        <w:trPr>
          <w:trHeight w:val="801"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jc w:val="center"/>
              <w:rPr>
                <w:rFonts w:ascii="仿宋" w:hAnsi="仿宋" w:eastAsia="仿宋" w:cs="仿宋"/>
                <w:b/>
                <w:bCs/>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jc w:val="center"/>
              <w:rPr>
                <w:rFonts w:ascii="仿宋" w:hAnsi="仿宋" w:eastAsia="仿宋" w:cs="仿宋"/>
                <w:b/>
                <w:bCs/>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jc w:val="center"/>
              <w:rPr>
                <w:rFonts w:ascii="仿宋" w:hAnsi="仿宋" w:eastAsia="仿宋" w:cs="仿宋"/>
                <w:b/>
                <w:bCs/>
                <w:color w:val="000000"/>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kern w:val="0"/>
                <w:szCs w:val="21"/>
                <w:lang w:bidi="ar"/>
              </w:rPr>
            </w:pPr>
            <w:r>
              <w:rPr>
                <w:rFonts w:hint="eastAsia" w:ascii="仿宋" w:hAnsi="仿宋" w:eastAsia="仿宋" w:cs="仿宋"/>
                <w:b/>
                <w:bCs/>
                <w:color w:val="000000"/>
                <w:kern w:val="0"/>
                <w:szCs w:val="21"/>
                <w:lang w:bidi="ar"/>
              </w:rPr>
              <w:t>2023年</w:t>
            </w:r>
          </w:p>
        </w:tc>
        <w:tc>
          <w:tcPr>
            <w:tcW w:w="0" w:type="auto"/>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2024年</w:t>
            </w:r>
          </w:p>
        </w:tc>
        <w:tc>
          <w:tcPr>
            <w:tcW w:w="0" w:type="auto"/>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2025年</w:t>
            </w:r>
          </w:p>
        </w:tc>
      </w:tr>
      <w:tr>
        <w:tblPrEx>
          <w:tblCellMar>
            <w:top w:w="15" w:type="dxa"/>
            <w:left w:w="15" w:type="dxa"/>
            <w:bottom w:w="15" w:type="dxa"/>
            <w:right w:w="15" w:type="dxa"/>
          </w:tblCellMar>
        </w:tblPrEx>
        <w:trPr>
          <w:trHeight w:val="450"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pPr>
              <w:jc w:val="left"/>
              <w:rPr>
                <w:rFonts w:ascii="仿宋" w:hAnsi="仿宋" w:eastAsia="仿宋" w:cs="仿宋"/>
                <w:color w:val="000000"/>
                <w:szCs w:val="21"/>
              </w:rPr>
            </w:pPr>
            <w:r>
              <w:rPr>
                <w:rFonts w:hint="eastAsia" w:ascii="仿宋" w:hAnsi="仿宋" w:eastAsia="仿宋" w:cs="仿宋"/>
                <w:b/>
                <w:bCs/>
                <w:color w:val="000000"/>
                <w:szCs w:val="21"/>
              </w:rPr>
              <w:t>教职工绩效工资制度改革项目</w:t>
            </w:r>
          </w:p>
        </w:tc>
        <w:tc>
          <w:tcPr>
            <w:tcW w:w="0" w:type="auto"/>
            <w:tcBorders>
              <w:top w:val="single" w:color="000000" w:sz="4" w:space="0"/>
              <w:left w:val="single" w:color="000000" w:sz="4" w:space="0"/>
              <w:bottom w:val="single" w:color="000000" w:sz="4" w:space="0"/>
              <w:right w:val="single" w:color="000000" w:sz="4" w:space="0"/>
            </w:tcBorders>
            <w:vAlign w:val="center"/>
          </w:tcPr>
          <w:p>
            <w:pPr>
              <w:jc w:val="left"/>
              <w:rPr>
                <w:rFonts w:ascii="仿宋" w:hAnsi="仿宋" w:eastAsia="仿宋" w:cs="仿宋"/>
                <w:color w:val="000000"/>
                <w:szCs w:val="21"/>
              </w:rPr>
            </w:pPr>
            <w:r>
              <w:rPr>
                <w:rFonts w:hint="eastAsia" w:ascii="仿宋" w:hAnsi="仿宋" w:eastAsia="仿宋" w:cs="仿宋"/>
                <w:color w:val="000000"/>
                <w:szCs w:val="21"/>
              </w:rPr>
              <w:t>完善基于分类评价与管理的教职工绩效考核标准；建立基于“靶向精准考核”的教职工绩效评价模式；建设教职工绩效考核与管理的网络平台</w:t>
            </w:r>
          </w:p>
        </w:tc>
        <w:tc>
          <w:tcPr>
            <w:tcW w:w="0" w:type="auto"/>
            <w:tcBorders>
              <w:top w:val="single" w:color="000000" w:sz="4" w:space="0"/>
              <w:left w:val="single" w:color="000000" w:sz="4" w:space="0"/>
              <w:bottom w:val="single" w:color="000000" w:sz="4" w:space="0"/>
              <w:right w:val="single" w:color="000000" w:sz="4" w:space="0"/>
            </w:tcBorders>
            <w:vAlign w:val="center"/>
          </w:tcPr>
          <w:p>
            <w:pPr>
              <w:jc w:val="left"/>
              <w:rPr>
                <w:rFonts w:ascii="仿宋" w:hAnsi="仿宋" w:eastAsia="仿宋" w:cs="仿宋"/>
                <w:color w:val="000000"/>
                <w:szCs w:val="21"/>
              </w:rPr>
            </w:pPr>
            <w:r>
              <w:rPr>
                <w:rFonts w:hint="eastAsia" w:ascii="仿宋" w:hAnsi="仿宋" w:eastAsia="仿宋" w:cs="仿宋"/>
                <w:color w:val="000000"/>
                <w:szCs w:val="21"/>
              </w:rPr>
              <w:t>建立适应创新强校体制的绩效考核评价机制，完善各项绩效评价分配制度，修订绩效工资实施方案，在核定的总量内自主确定基础性与奖励性绩效工资比例，真正实现多劳多得，优劳优得。</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Cs w:val="21"/>
              </w:rPr>
            </w:pPr>
            <w:r>
              <w:rPr>
                <w:rFonts w:hint="eastAsia" w:ascii="仿宋" w:hAnsi="仿宋" w:eastAsia="仿宋" w:cs="仿宋"/>
                <w:color w:val="000000"/>
                <w:szCs w:val="21"/>
              </w:rPr>
              <w:t>2</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Cs w:val="21"/>
              </w:rPr>
            </w:pPr>
            <w:r>
              <w:rPr>
                <w:rFonts w:hint="eastAsia" w:ascii="仿宋" w:hAnsi="仿宋" w:eastAsia="仿宋" w:cs="仿宋"/>
                <w:color w:val="000000"/>
                <w:szCs w:val="21"/>
              </w:rPr>
              <w:t>5</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Cs w:val="21"/>
              </w:rPr>
            </w:pPr>
            <w:r>
              <w:rPr>
                <w:rFonts w:hint="eastAsia" w:ascii="仿宋" w:hAnsi="仿宋" w:eastAsia="仿宋" w:cs="仿宋"/>
                <w:color w:val="000000"/>
                <w:szCs w:val="21"/>
              </w:rPr>
              <w:t>5</w:t>
            </w:r>
          </w:p>
        </w:tc>
      </w:tr>
    </w:tbl>
    <w:p>
      <w:pPr>
        <w:spacing w:line="360" w:lineRule="auto"/>
        <w:rPr>
          <w:rFonts w:ascii="仿宋" w:hAnsi="仿宋" w:eastAsia="仿宋" w:cs="仿宋"/>
          <w:b/>
          <w:bCs/>
          <w:sz w:val="28"/>
          <w:szCs w:val="28"/>
        </w:rPr>
      </w:pPr>
    </w:p>
    <w:p/>
    <w:p>
      <w:pPr>
        <w:pStyle w:val="3"/>
        <w:ind w:firstLine="643"/>
      </w:pPr>
      <w:bookmarkStart w:id="65" w:name="_Toc164347851"/>
      <w:r>
        <w:rPr>
          <w:rFonts w:hint="eastAsia"/>
        </w:rPr>
        <w:t>（五）科学研究和社会服务项目</w:t>
      </w:r>
      <w:bookmarkEnd w:id="65"/>
    </w:p>
    <w:p>
      <w:pPr>
        <w:pStyle w:val="4"/>
      </w:pPr>
      <w:bookmarkStart w:id="66" w:name="_Toc164347852"/>
      <w:r>
        <w:rPr>
          <w:rFonts w:hint="eastAsia"/>
        </w:rPr>
        <w:t>1.科研创新，提升办学综合实力项目</w:t>
      </w:r>
      <w:bookmarkEnd w:id="66"/>
    </w:p>
    <w:p>
      <w:pPr>
        <w:spacing w:line="540" w:lineRule="exact"/>
        <w:ind w:firstLine="562" w:firstLineChars="200"/>
        <w:rPr>
          <w:rFonts w:ascii="仿宋" w:hAnsi="仿宋" w:eastAsia="仿宋"/>
          <w:b/>
          <w:bCs/>
          <w:sz w:val="28"/>
          <w:szCs w:val="28"/>
        </w:rPr>
      </w:pPr>
      <w:r>
        <w:rPr>
          <w:rFonts w:hint="eastAsia" w:ascii="仿宋" w:hAnsi="仿宋" w:eastAsia="仿宋"/>
          <w:b/>
          <w:bCs/>
          <w:sz w:val="28"/>
          <w:szCs w:val="28"/>
        </w:rPr>
        <w:t>（1）必要性和可行性</w:t>
      </w:r>
    </w:p>
    <w:p>
      <w:pPr>
        <w:spacing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党的二十大报告指出坚持创新在我国现代化建设全局中的核心地位。地方高职院校作为国家战略科技力量的重要组成部分，要加强与地方经济和产业发展的对接，增强专业建设与产业的适应性，构建科学研究与人才培养联动机制，创新科学研究与人才培养相融合的体制机制，为推动地方经济高质量发展提供源源不断的人才和科技支撑。</w:t>
      </w:r>
    </w:p>
    <w:p>
      <w:pPr>
        <w:spacing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科研创新是职业教育的重要组成部分，是推动地方经济发展和产业升级的重要力量，不仅可以提升学校的学术水平和声誉，更可以为地方经济和行业发展提供有力的支撑和保障，促进学校与地方政府、企业间的合作交流，推进技术创新和产业升级。</w:t>
      </w:r>
    </w:p>
    <w:p>
      <w:pPr>
        <w:spacing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科研创新工作也是我校自身发展的需要。学校通过开展科研活动，可以提升自身师资力量、学术水平和软实力，更好地服务学校教育教学和人才培养工作。</w:t>
      </w:r>
    </w:p>
    <w:p>
      <w:pPr>
        <w:spacing w:line="540" w:lineRule="exact"/>
        <w:ind w:firstLine="562" w:firstLineChars="200"/>
        <w:rPr>
          <w:rFonts w:ascii="仿宋" w:hAnsi="仿宋" w:eastAsia="仿宋"/>
          <w:b/>
          <w:bCs/>
          <w:sz w:val="28"/>
          <w:szCs w:val="28"/>
        </w:rPr>
      </w:pPr>
      <w:r>
        <w:rPr>
          <w:rFonts w:hint="eastAsia" w:ascii="仿宋" w:hAnsi="仿宋" w:eastAsia="仿宋"/>
          <w:b/>
          <w:bCs/>
          <w:sz w:val="28"/>
          <w:szCs w:val="28"/>
        </w:rPr>
        <w:t>（2）拟解决的关键问题</w:t>
      </w:r>
    </w:p>
    <w:p>
      <w:pPr>
        <w:spacing w:line="540" w:lineRule="exact"/>
        <w:ind w:firstLine="560" w:firstLineChars="200"/>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由于学校的科研工作起步较晚、研究基础相对薄，缺少高质量技术创新服务平台和高水平科研团队，一定程度上存在着服务意识较弱，服务动力不强，科研创新能力不足，成果转化率较低等问题。学校将更加注重科研工作与产业深度融合，重视创新及成果转化落地，发挥科研成果在实践中的价值，积极履行社会服务职能，深度参与到科技创新、文化发展、经济建设中，发挥资源和人才优势，在多领域树立社会服务品牌，不断拓宽学校的发展道路，为推动惠州产业升级和经济发展提供智力支持。</w:t>
      </w:r>
    </w:p>
    <w:p>
      <w:pPr>
        <w:spacing w:line="540" w:lineRule="exact"/>
        <w:ind w:firstLine="562" w:firstLineChars="200"/>
        <w:rPr>
          <w:rFonts w:ascii="仿宋" w:hAnsi="仿宋" w:eastAsia="仿宋"/>
          <w:b/>
          <w:bCs/>
          <w:sz w:val="28"/>
          <w:szCs w:val="28"/>
        </w:rPr>
      </w:pPr>
      <w:r>
        <w:rPr>
          <w:rFonts w:hint="eastAsia" w:ascii="仿宋" w:hAnsi="仿宋" w:eastAsia="仿宋"/>
          <w:b/>
          <w:bCs/>
          <w:sz w:val="28"/>
          <w:szCs w:val="28"/>
        </w:rPr>
        <w:t>（3）建设目标</w:t>
      </w:r>
    </w:p>
    <w:p>
      <w:pPr>
        <w:spacing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深化产教融合，科教融汇，紧密对接新技术、新业态、新职业，提升科研和社会服务能力，更新办学理念，强化服务意识，深化校企合作，形成科研合力，创新培训管理机制，打造培训品牌，优化绩效评价体系，激发社会服务活力，统筹区域均衡发展，凸显区域特色，助力国家重大战略项目实施。根据惠州经济实际发展需要，发挥多样化社会服务效能，从智力和技术上支持惠州经济快速转型升级，整体推动经济发展。重点打造省级科研创新、产教融合、技术技能平台30个。建成15个技术技能创新服务平台，8支创新服务团队。获得纵向或横向科研项目立项，国家级15项，省级50项。年均横向技术服务到款额超520万元，年均横向技术服务产生经济效益超1500万元，年均纵向科研经费超200万元。</w:t>
      </w:r>
    </w:p>
    <w:p>
      <w:pPr>
        <w:spacing w:line="540" w:lineRule="exact"/>
        <w:ind w:firstLine="562" w:firstLineChars="200"/>
        <w:rPr>
          <w:rFonts w:ascii="仿宋" w:hAnsi="仿宋" w:eastAsia="仿宋"/>
          <w:b/>
          <w:bCs/>
          <w:sz w:val="28"/>
          <w:szCs w:val="28"/>
        </w:rPr>
      </w:pPr>
      <w:r>
        <w:rPr>
          <w:rFonts w:hint="eastAsia" w:ascii="仿宋" w:hAnsi="仿宋" w:eastAsia="仿宋"/>
          <w:b/>
          <w:bCs/>
          <w:sz w:val="28"/>
          <w:szCs w:val="28"/>
        </w:rPr>
        <w:t>（4）重点建设任务</w:t>
      </w:r>
    </w:p>
    <w:p>
      <w:pPr>
        <w:spacing w:line="540" w:lineRule="exact"/>
        <w:ind w:firstLine="562" w:firstLineChars="200"/>
        <w:rPr>
          <w:rFonts w:ascii="仿宋" w:hAnsi="仿宋" w:eastAsia="仿宋" w:cs="仿宋"/>
          <w:b/>
          <w:sz w:val="28"/>
          <w:szCs w:val="28"/>
        </w:rPr>
      </w:pPr>
      <w:r>
        <w:rPr>
          <w:rFonts w:ascii="仿宋" w:hAnsi="仿宋" w:eastAsia="仿宋" w:cs="仿宋"/>
          <w:b/>
          <w:sz w:val="28"/>
          <w:szCs w:val="28"/>
        </w:rPr>
        <w:fldChar w:fldCharType="begin"/>
      </w:r>
      <w:r>
        <w:rPr>
          <w:rFonts w:ascii="仿宋" w:hAnsi="仿宋" w:eastAsia="仿宋" w:cs="仿宋"/>
          <w:b/>
          <w:sz w:val="28"/>
          <w:szCs w:val="28"/>
        </w:rPr>
        <w:instrText xml:space="preserve"> </w:instrText>
      </w:r>
      <w:r>
        <w:rPr>
          <w:rFonts w:hint="eastAsia" w:ascii="仿宋" w:hAnsi="仿宋" w:eastAsia="仿宋" w:cs="仿宋"/>
          <w:b/>
          <w:sz w:val="28"/>
          <w:szCs w:val="28"/>
        </w:rPr>
        <w:instrText xml:space="preserve">= 1 \* GB3</w:instrText>
      </w:r>
      <w:r>
        <w:rPr>
          <w:rFonts w:ascii="仿宋" w:hAnsi="仿宋" w:eastAsia="仿宋" w:cs="仿宋"/>
          <w:b/>
          <w:sz w:val="28"/>
          <w:szCs w:val="28"/>
        </w:rPr>
        <w:instrText xml:space="preserve"> </w:instrText>
      </w:r>
      <w:r>
        <w:rPr>
          <w:rFonts w:ascii="仿宋" w:hAnsi="仿宋" w:eastAsia="仿宋" w:cs="仿宋"/>
          <w:b/>
          <w:sz w:val="28"/>
          <w:szCs w:val="28"/>
        </w:rPr>
        <w:fldChar w:fldCharType="separate"/>
      </w:r>
      <w:r>
        <w:rPr>
          <w:rFonts w:hint="eastAsia" w:ascii="仿宋" w:hAnsi="仿宋" w:eastAsia="仿宋" w:cs="仿宋"/>
          <w:b/>
          <w:sz w:val="28"/>
          <w:szCs w:val="28"/>
        </w:rPr>
        <w:t>①</w:t>
      </w:r>
      <w:r>
        <w:rPr>
          <w:rFonts w:ascii="仿宋" w:hAnsi="仿宋" w:eastAsia="仿宋" w:cs="仿宋"/>
          <w:b/>
          <w:sz w:val="28"/>
          <w:szCs w:val="28"/>
        </w:rPr>
        <w:fldChar w:fldCharType="end"/>
      </w:r>
      <w:r>
        <w:rPr>
          <w:rFonts w:hint="eastAsia" w:ascii="仿宋" w:hAnsi="仿宋" w:eastAsia="仿宋" w:cs="仿宋"/>
          <w:b/>
          <w:sz w:val="28"/>
          <w:szCs w:val="28"/>
        </w:rPr>
        <w:t xml:space="preserve"> 提高科研经费投入</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加强科研经费投入，优化科研经费使用，提高科研经费的使用效益。收集和整理一批区域企业亟需解决的技术难题，通过“揭榜挂帅”的方式集中优势科研力量，学校匹配专项资金，完善科研经费管理制度。</w:t>
      </w:r>
    </w:p>
    <w:p>
      <w:pPr>
        <w:spacing w:line="540" w:lineRule="exact"/>
        <w:ind w:firstLine="562" w:firstLineChars="200"/>
        <w:rPr>
          <w:rFonts w:ascii="仿宋" w:hAnsi="仿宋" w:eastAsia="仿宋" w:cs="仿宋"/>
          <w:b/>
          <w:sz w:val="28"/>
          <w:szCs w:val="28"/>
        </w:rPr>
      </w:pPr>
      <w:r>
        <w:rPr>
          <w:rFonts w:ascii="仿宋" w:hAnsi="仿宋" w:eastAsia="仿宋" w:cs="仿宋"/>
          <w:b/>
          <w:sz w:val="28"/>
          <w:szCs w:val="28"/>
        </w:rPr>
        <w:fldChar w:fldCharType="begin"/>
      </w:r>
      <w:r>
        <w:rPr>
          <w:rFonts w:ascii="仿宋" w:hAnsi="仿宋" w:eastAsia="仿宋" w:cs="仿宋"/>
          <w:b/>
          <w:sz w:val="28"/>
          <w:szCs w:val="28"/>
        </w:rPr>
        <w:instrText xml:space="preserve"> </w:instrText>
      </w:r>
      <w:r>
        <w:rPr>
          <w:rFonts w:hint="eastAsia" w:ascii="仿宋" w:hAnsi="仿宋" w:eastAsia="仿宋" w:cs="仿宋"/>
          <w:b/>
          <w:sz w:val="28"/>
          <w:szCs w:val="28"/>
        </w:rPr>
        <w:instrText xml:space="preserve">= 2 \* GB3</w:instrText>
      </w:r>
      <w:r>
        <w:rPr>
          <w:rFonts w:ascii="仿宋" w:hAnsi="仿宋" w:eastAsia="仿宋" w:cs="仿宋"/>
          <w:b/>
          <w:sz w:val="28"/>
          <w:szCs w:val="28"/>
        </w:rPr>
        <w:instrText xml:space="preserve"> </w:instrText>
      </w:r>
      <w:r>
        <w:rPr>
          <w:rFonts w:ascii="仿宋" w:hAnsi="仿宋" w:eastAsia="仿宋" w:cs="仿宋"/>
          <w:b/>
          <w:sz w:val="28"/>
          <w:szCs w:val="28"/>
        </w:rPr>
        <w:fldChar w:fldCharType="separate"/>
      </w:r>
      <w:r>
        <w:rPr>
          <w:rFonts w:hint="eastAsia" w:ascii="仿宋" w:hAnsi="仿宋" w:eastAsia="仿宋" w:cs="仿宋"/>
          <w:b/>
          <w:sz w:val="28"/>
          <w:szCs w:val="28"/>
        </w:rPr>
        <w:t>②</w:t>
      </w:r>
      <w:r>
        <w:rPr>
          <w:rFonts w:ascii="仿宋" w:hAnsi="仿宋" w:eastAsia="仿宋" w:cs="仿宋"/>
          <w:b/>
          <w:sz w:val="28"/>
          <w:szCs w:val="28"/>
        </w:rPr>
        <w:fldChar w:fldCharType="end"/>
      </w:r>
      <w:r>
        <w:rPr>
          <w:rFonts w:hint="eastAsia" w:ascii="仿宋" w:hAnsi="仿宋" w:eastAsia="仿宋" w:cs="仿宋"/>
          <w:b/>
          <w:sz w:val="28"/>
          <w:szCs w:val="28"/>
        </w:rPr>
        <w:t xml:space="preserve"> 健全科研成果转化机制</w:t>
      </w:r>
    </w:p>
    <w:p>
      <w:pPr>
        <w:spacing w:line="540" w:lineRule="exact"/>
        <w:ind w:firstLine="560" w:firstLineChars="200"/>
        <w:rPr>
          <w:rFonts w:ascii="仿宋" w:hAnsi="仿宋" w:eastAsia="仿宋" w:cs="仿宋"/>
          <w:bCs/>
          <w:sz w:val="28"/>
          <w:szCs w:val="28"/>
        </w:rPr>
      </w:pPr>
      <w:r>
        <w:rPr>
          <w:rFonts w:hint="eastAsia" w:ascii="仿宋" w:hAnsi="仿宋" w:eastAsia="仿宋" w:cs="仿宋"/>
          <w:sz w:val="28"/>
          <w:szCs w:val="28"/>
        </w:rPr>
        <w:t>加强与企业和政府的合作，促进科研成果转化，建立科研成果转化机制，明确学校和教师、专业和企业、团队和个人三方面群体在成果转化中发挥的作用、应尽的义务、收益分配的比例，拓宽经费来源，强化自我造血功能。</w:t>
      </w:r>
    </w:p>
    <w:p>
      <w:pPr>
        <w:spacing w:line="540" w:lineRule="exact"/>
        <w:ind w:firstLine="562" w:firstLineChars="200"/>
        <w:rPr>
          <w:rFonts w:ascii="仿宋" w:hAnsi="仿宋" w:eastAsia="仿宋" w:cs="仿宋"/>
          <w:b/>
          <w:sz w:val="28"/>
          <w:szCs w:val="28"/>
        </w:rPr>
      </w:pPr>
      <w:r>
        <w:rPr>
          <w:rFonts w:ascii="仿宋" w:hAnsi="仿宋" w:eastAsia="仿宋" w:cs="仿宋"/>
          <w:b/>
          <w:sz w:val="28"/>
          <w:szCs w:val="28"/>
        </w:rPr>
        <w:fldChar w:fldCharType="begin"/>
      </w:r>
      <w:r>
        <w:rPr>
          <w:rFonts w:ascii="仿宋" w:hAnsi="仿宋" w:eastAsia="仿宋" w:cs="仿宋"/>
          <w:b/>
          <w:sz w:val="28"/>
          <w:szCs w:val="28"/>
        </w:rPr>
        <w:instrText xml:space="preserve"> </w:instrText>
      </w:r>
      <w:r>
        <w:rPr>
          <w:rFonts w:hint="eastAsia" w:ascii="仿宋" w:hAnsi="仿宋" w:eastAsia="仿宋" w:cs="仿宋"/>
          <w:b/>
          <w:sz w:val="28"/>
          <w:szCs w:val="28"/>
        </w:rPr>
        <w:instrText xml:space="preserve">= 3 \* GB3</w:instrText>
      </w:r>
      <w:r>
        <w:rPr>
          <w:rFonts w:ascii="仿宋" w:hAnsi="仿宋" w:eastAsia="仿宋" w:cs="仿宋"/>
          <w:b/>
          <w:sz w:val="28"/>
          <w:szCs w:val="28"/>
        </w:rPr>
        <w:instrText xml:space="preserve"> </w:instrText>
      </w:r>
      <w:r>
        <w:rPr>
          <w:rFonts w:ascii="仿宋" w:hAnsi="仿宋" w:eastAsia="仿宋" w:cs="仿宋"/>
          <w:b/>
          <w:sz w:val="28"/>
          <w:szCs w:val="28"/>
        </w:rPr>
        <w:fldChar w:fldCharType="separate"/>
      </w:r>
      <w:r>
        <w:rPr>
          <w:rFonts w:hint="eastAsia" w:ascii="仿宋" w:hAnsi="仿宋" w:eastAsia="仿宋" w:cs="仿宋"/>
          <w:b/>
          <w:sz w:val="28"/>
          <w:szCs w:val="28"/>
        </w:rPr>
        <w:t>③</w:t>
      </w:r>
      <w:r>
        <w:rPr>
          <w:rFonts w:ascii="仿宋" w:hAnsi="仿宋" w:eastAsia="仿宋" w:cs="仿宋"/>
          <w:b/>
          <w:sz w:val="28"/>
          <w:szCs w:val="28"/>
        </w:rPr>
        <w:fldChar w:fldCharType="end"/>
      </w:r>
      <w:r>
        <w:rPr>
          <w:rFonts w:hint="eastAsia" w:ascii="仿宋" w:hAnsi="仿宋" w:eastAsia="仿宋" w:cs="仿宋"/>
          <w:b/>
          <w:sz w:val="28"/>
          <w:szCs w:val="28"/>
        </w:rPr>
        <w:t xml:space="preserve"> 加强知识产权保护</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设立知识产权转化中心，安排专业人员服务全校师生的专利转化工作，集中管理，并收集社会各方对知识产权保护工作的政策引导、资金支持、成果固化等分类信息，促使学校用好、用活拥有的知识产权。同时，防止侵权等问题的发生，保护科研人员的合法权益。</w:t>
      </w:r>
    </w:p>
    <w:p>
      <w:pPr>
        <w:spacing w:line="540" w:lineRule="exact"/>
        <w:ind w:firstLine="562" w:firstLineChars="200"/>
        <w:rPr>
          <w:rFonts w:ascii="仿宋" w:hAnsi="仿宋" w:eastAsia="仿宋" w:cs="仿宋"/>
          <w:b/>
          <w:sz w:val="28"/>
          <w:szCs w:val="28"/>
        </w:rPr>
      </w:pPr>
      <w:r>
        <w:rPr>
          <w:rFonts w:hint="eastAsia" w:ascii="仿宋" w:hAnsi="仿宋" w:eastAsia="仿宋" w:cs="仿宋"/>
          <w:b/>
          <w:sz w:val="28"/>
          <w:szCs w:val="28"/>
        </w:rPr>
        <w:t>④ 助力乡村振兴战略</w:t>
      </w:r>
    </w:p>
    <w:p>
      <w:pPr>
        <w:spacing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结合学校开设的园林、园艺、动医、电商、数媒、财管等专业的师资、人才、课程优势，借助与学校开展深度校企合作的企业资源优势，发挥学校在社会服务过程中积累的产业资源优势，根据惠州乡村的实际情况，开展产业帮扶、文化帮扶、智力帮扶，为特色产业发展、技术人员培育提供服务，促进惠州经济发展。</w:t>
      </w:r>
    </w:p>
    <w:p>
      <w:pPr>
        <w:spacing w:line="540" w:lineRule="exact"/>
        <w:ind w:firstLine="562" w:firstLineChars="200"/>
        <w:rPr>
          <w:rFonts w:ascii="仿宋" w:hAnsi="仿宋" w:eastAsia="仿宋"/>
          <w:b/>
          <w:bCs/>
          <w:sz w:val="28"/>
          <w:szCs w:val="28"/>
        </w:rPr>
      </w:pPr>
      <w:r>
        <w:rPr>
          <w:rFonts w:ascii="仿宋" w:hAnsi="仿宋" w:eastAsia="仿宋"/>
          <w:b/>
          <w:bCs/>
          <w:sz w:val="28"/>
          <w:szCs w:val="28"/>
        </w:rPr>
        <w:t>（5）</w:t>
      </w:r>
      <w:r>
        <w:rPr>
          <w:rFonts w:hint="eastAsia" w:ascii="仿宋" w:hAnsi="仿宋" w:eastAsia="仿宋"/>
          <w:b/>
          <w:bCs/>
          <w:sz w:val="28"/>
          <w:szCs w:val="28"/>
        </w:rPr>
        <w:t>建设计划</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0"/>
        <w:gridCol w:w="2320"/>
        <w:gridCol w:w="3620"/>
        <w:gridCol w:w="1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0" w:type="dxa"/>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lang w:eastAsia="en-US"/>
              </w:rPr>
            </w:pPr>
            <w:r>
              <w:rPr>
                <w:rFonts w:hint="eastAsia" w:ascii="仿宋" w:hAnsi="仿宋" w:eastAsia="仿宋" w:cs="仿宋"/>
                <w:b/>
                <w:bCs/>
                <w:color w:val="000000"/>
                <w:kern w:val="0"/>
                <w:szCs w:val="21"/>
                <w:lang w:eastAsia="en-US"/>
              </w:rPr>
              <w:t>年度</w:t>
            </w:r>
          </w:p>
        </w:tc>
        <w:tc>
          <w:tcPr>
            <w:tcW w:w="2320" w:type="dxa"/>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lang w:eastAsia="en-US"/>
              </w:rPr>
            </w:pPr>
            <w:r>
              <w:rPr>
                <w:rFonts w:hint="eastAsia" w:ascii="仿宋" w:hAnsi="仿宋" w:eastAsia="仿宋" w:cs="仿宋"/>
                <w:b/>
                <w:bCs/>
                <w:color w:val="000000"/>
                <w:kern w:val="0"/>
                <w:szCs w:val="21"/>
                <w:lang w:eastAsia="en-US"/>
              </w:rPr>
              <w:t>建设任务</w:t>
            </w:r>
          </w:p>
        </w:tc>
        <w:tc>
          <w:tcPr>
            <w:tcW w:w="3620" w:type="dxa"/>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lang w:eastAsia="en-US"/>
              </w:rPr>
            </w:pPr>
            <w:r>
              <w:rPr>
                <w:rFonts w:hint="eastAsia" w:ascii="仿宋" w:hAnsi="仿宋" w:eastAsia="仿宋" w:cs="仿宋"/>
                <w:b/>
                <w:bCs/>
                <w:color w:val="000000"/>
                <w:kern w:val="0"/>
                <w:szCs w:val="21"/>
                <w:lang w:eastAsia="en-US"/>
              </w:rPr>
              <w:t>建设内容</w:t>
            </w:r>
          </w:p>
        </w:tc>
        <w:tc>
          <w:tcPr>
            <w:tcW w:w="1340" w:type="dxa"/>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lang w:eastAsia="en-US"/>
              </w:rPr>
            </w:pPr>
            <w:r>
              <w:rPr>
                <w:rFonts w:hint="eastAsia" w:ascii="仿宋" w:hAnsi="仿宋" w:eastAsia="仿宋" w:cs="仿宋"/>
                <w:b/>
                <w:bCs/>
                <w:color w:val="000000"/>
                <w:kern w:val="0"/>
                <w:szCs w:val="21"/>
                <w:lang w:eastAsia="en-US"/>
              </w:rPr>
              <w:t>负责部门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0" w:type="dxa"/>
            <w:vAlign w:val="center"/>
          </w:tcPr>
          <w:p>
            <w:pPr>
              <w:jc w:val="center"/>
              <w:rPr>
                <w:rFonts w:ascii="仿宋" w:hAnsi="仿宋" w:eastAsia="仿宋" w:cs="仿宋"/>
                <w:b/>
                <w:bCs/>
                <w:color w:val="000000"/>
                <w:szCs w:val="21"/>
              </w:rPr>
            </w:pPr>
            <w:r>
              <w:rPr>
                <w:rFonts w:hint="eastAsia" w:ascii="仿宋" w:hAnsi="仿宋" w:eastAsia="仿宋" w:cs="仿宋"/>
                <w:b/>
                <w:bCs/>
                <w:color w:val="000000"/>
                <w:szCs w:val="21"/>
              </w:rPr>
              <w:t>2023</w:t>
            </w:r>
          </w:p>
        </w:tc>
        <w:tc>
          <w:tcPr>
            <w:tcW w:w="2320" w:type="dxa"/>
            <w:vAlign w:val="center"/>
          </w:tcPr>
          <w:p>
            <w:pPr>
              <w:jc w:val="left"/>
              <w:rPr>
                <w:rFonts w:ascii="仿宋" w:hAnsi="仿宋" w:eastAsia="仿宋" w:cs="仿宋"/>
                <w:color w:val="000000"/>
                <w:szCs w:val="21"/>
              </w:rPr>
            </w:pPr>
            <w:r>
              <w:rPr>
                <w:rFonts w:hint="eastAsia" w:ascii="仿宋" w:hAnsi="仿宋" w:eastAsia="仿宋" w:cs="仿宋"/>
                <w:color w:val="000000"/>
                <w:szCs w:val="21"/>
              </w:rPr>
              <w:t>修订完善一系列科研及成果转化制度，健全科研成果转化机制。年横向技术服务到款额超520万元，年横向技术服务产生经济效益超1500万元，年纵向科研经费超200万元。</w:t>
            </w:r>
          </w:p>
        </w:tc>
        <w:tc>
          <w:tcPr>
            <w:tcW w:w="3620" w:type="dxa"/>
            <w:vAlign w:val="center"/>
          </w:tcPr>
          <w:p>
            <w:pPr>
              <w:jc w:val="left"/>
              <w:rPr>
                <w:rFonts w:ascii="仿宋" w:hAnsi="仿宋" w:eastAsia="仿宋" w:cs="仿宋"/>
                <w:bCs/>
                <w:szCs w:val="21"/>
              </w:rPr>
            </w:pPr>
            <w:r>
              <w:rPr>
                <w:rFonts w:hint="eastAsia" w:ascii="仿宋" w:hAnsi="仿宋" w:eastAsia="仿宋" w:cs="仿宋"/>
                <w:bCs/>
                <w:szCs w:val="21"/>
              </w:rPr>
              <w:t>聚焦学校在社会服务中存在的痛点、难点，制定开展社会服务的激励办法，提高师生开展社会服务的动力及工作质量。充分发挥其应用导向效能，积极主动对接政府、企业、行业需求，通过深入实地调研等方式，了解地方经济发展状况和产业结构调整规划，对市场人才培养需求进行动态观察，关注技术发展和应用，为区域产业转型升级提供精准服务。</w:t>
            </w:r>
          </w:p>
        </w:tc>
        <w:tc>
          <w:tcPr>
            <w:tcW w:w="1340" w:type="dxa"/>
            <w:vAlign w:val="center"/>
          </w:tcPr>
          <w:p>
            <w:pPr>
              <w:jc w:val="center"/>
              <w:rPr>
                <w:rFonts w:ascii="仿宋" w:hAnsi="仿宋" w:eastAsia="仿宋" w:cs="仿宋"/>
                <w:bCs/>
                <w:szCs w:val="21"/>
              </w:rPr>
            </w:pPr>
            <w:r>
              <w:rPr>
                <w:rFonts w:hint="eastAsia" w:ascii="仿宋" w:hAnsi="仿宋" w:eastAsia="仿宋" w:cs="仿宋"/>
                <w:bCs/>
                <w:szCs w:val="21"/>
              </w:rPr>
              <w:t>科技处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0" w:type="dxa"/>
            <w:vAlign w:val="center"/>
          </w:tcPr>
          <w:p>
            <w:pPr>
              <w:jc w:val="center"/>
              <w:rPr>
                <w:rFonts w:ascii="仿宋" w:hAnsi="仿宋" w:eastAsia="仿宋" w:cs="仿宋"/>
                <w:b/>
                <w:bCs/>
                <w:color w:val="000000"/>
                <w:szCs w:val="21"/>
              </w:rPr>
            </w:pPr>
            <w:r>
              <w:rPr>
                <w:rFonts w:hint="eastAsia" w:ascii="仿宋" w:hAnsi="仿宋" w:eastAsia="仿宋" w:cs="仿宋"/>
                <w:b/>
                <w:bCs/>
                <w:color w:val="000000"/>
                <w:szCs w:val="21"/>
              </w:rPr>
              <w:t>2024</w:t>
            </w:r>
          </w:p>
        </w:tc>
        <w:tc>
          <w:tcPr>
            <w:tcW w:w="2320" w:type="dxa"/>
            <w:vAlign w:val="center"/>
          </w:tcPr>
          <w:p>
            <w:pPr>
              <w:jc w:val="left"/>
              <w:rPr>
                <w:rFonts w:ascii="仿宋" w:hAnsi="仿宋" w:eastAsia="仿宋" w:cs="仿宋"/>
                <w:color w:val="000000"/>
                <w:szCs w:val="21"/>
              </w:rPr>
            </w:pPr>
            <w:r>
              <w:rPr>
                <w:rFonts w:hint="eastAsia" w:ascii="仿宋" w:hAnsi="仿宋" w:eastAsia="仿宋" w:cs="仿宋"/>
                <w:color w:val="000000"/>
                <w:szCs w:val="21"/>
              </w:rPr>
              <w:t>制定开展社会服务的激励办法，提高师生开展社会服务的动力及工作质量。年横向技术服务到款额超520万元，年横向技术服务产生经济效益超1500万元，年纵向科研经费超200万元。</w:t>
            </w:r>
          </w:p>
        </w:tc>
        <w:tc>
          <w:tcPr>
            <w:tcW w:w="3620" w:type="dxa"/>
            <w:vAlign w:val="center"/>
          </w:tcPr>
          <w:p>
            <w:pPr>
              <w:jc w:val="left"/>
              <w:rPr>
                <w:rFonts w:ascii="仿宋" w:hAnsi="仿宋" w:eastAsia="仿宋" w:cs="仿宋"/>
                <w:bCs/>
                <w:szCs w:val="21"/>
              </w:rPr>
            </w:pPr>
            <w:r>
              <w:rPr>
                <w:rFonts w:hint="eastAsia" w:ascii="仿宋" w:hAnsi="仿宋" w:eastAsia="仿宋" w:cs="仿宋"/>
                <w:bCs/>
                <w:szCs w:val="21"/>
              </w:rPr>
              <w:t>聚焦学校在社会服务中存在的痛点、难点，制定开展社会服务的激励办法，提高师生开展社会服务的动力及工作质量。充分发挥其应用导向效能，积极主动对接政府、企业、行业需求，通过深入实地调研等方式，了解地方经济发展状况和产业结构调整规划，对市场人才培养需求进行动态观察，关注技术发展和应用，为区域产业转型升级提供精准服务。</w:t>
            </w:r>
          </w:p>
        </w:tc>
        <w:tc>
          <w:tcPr>
            <w:tcW w:w="1340" w:type="dxa"/>
            <w:vAlign w:val="center"/>
          </w:tcPr>
          <w:p>
            <w:pPr>
              <w:jc w:val="center"/>
              <w:rPr>
                <w:rFonts w:ascii="仿宋" w:hAnsi="仿宋" w:eastAsia="仿宋" w:cs="仿宋"/>
                <w:bCs/>
                <w:szCs w:val="21"/>
              </w:rPr>
            </w:pPr>
            <w:r>
              <w:rPr>
                <w:rFonts w:hint="eastAsia" w:ascii="仿宋" w:hAnsi="仿宋" w:eastAsia="仿宋" w:cs="仿宋"/>
                <w:bCs/>
                <w:szCs w:val="21"/>
              </w:rPr>
              <w:t>科技处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0" w:type="dxa"/>
            <w:vAlign w:val="center"/>
          </w:tcPr>
          <w:p>
            <w:pPr>
              <w:jc w:val="center"/>
              <w:rPr>
                <w:rFonts w:ascii="仿宋" w:hAnsi="仿宋" w:eastAsia="仿宋" w:cs="仿宋"/>
                <w:b/>
                <w:bCs/>
                <w:color w:val="000000"/>
                <w:szCs w:val="21"/>
              </w:rPr>
            </w:pPr>
            <w:r>
              <w:rPr>
                <w:rFonts w:hint="eastAsia" w:ascii="仿宋" w:hAnsi="仿宋" w:eastAsia="仿宋" w:cs="仿宋"/>
                <w:b/>
                <w:bCs/>
                <w:color w:val="000000"/>
                <w:szCs w:val="21"/>
              </w:rPr>
              <w:t>2025</w:t>
            </w:r>
          </w:p>
        </w:tc>
        <w:tc>
          <w:tcPr>
            <w:tcW w:w="2320" w:type="dxa"/>
            <w:vAlign w:val="center"/>
          </w:tcPr>
          <w:p>
            <w:pPr>
              <w:jc w:val="left"/>
              <w:rPr>
                <w:rFonts w:ascii="仿宋" w:hAnsi="仿宋" w:eastAsia="仿宋" w:cs="仿宋"/>
                <w:color w:val="000000"/>
                <w:szCs w:val="21"/>
              </w:rPr>
            </w:pPr>
            <w:r>
              <w:rPr>
                <w:rFonts w:hint="eastAsia" w:ascii="仿宋" w:hAnsi="仿宋" w:eastAsia="仿宋" w:cs="仿宋"/>
                <w:color w:val="000000"/>
                <w:szCs w:val="21"/>
              </w:rPr>
              <w:t>积极探索校校、校企资源共享、协同发展的合作模式，完善合作机制，搭建资源共享的服务平台。年横向技术服务到款额超520万元，年横向技术服务产生经济效益超1500万元，年纵向科研经费超200万元。</w:t>
            </w:r>
          </w:p>
        </w:tc>
        <w:tc>
          <w:tcPr>
            <w:tcW w:w="3620" w:type="dxa"/>
            <w:vAlign w:val="center"/>
          </w:tcPr>
          <w:p>
            <w:pPr>
              <w:jc w:val="left"/>
              <w:rPr>
                <w:rFonts w:ascii="仿宋" w:hAnsi="仿宋" w:eastAsia="仿宋" w:cs="仿宋"/>
                <w:color w:val="000000"/>
                <w:szCs w:val="21"/>
              </w:rPr>
            </w:pPr>
            <w:r>
              <w:rPr>
                <w:rFonts w:hint="eastAsia" w:ascii="仿宋" w:hAnsi="仿宋" w:eastAsia="仿宋" w:cs="仿宋"/>
                <w:color w:val="000000"/>
                <w:szCs w:val="21"/>
              </w:rPr>
              <w:t>与高水平院校联动，借鉴其教育资源、经济资源优势弥补自身短板，积极引进技能专家、劳模工匠等专业师资力量与技术型人才，深入优化学校的专业结构体系，打造特色技能人才培养体系，助力百千万工程和乡村振兴战略，与惠州经济发展形成良性互动，强化社会服务能力。</w:t>
            </w:r>
          </w:p>
          <w:p>
            <w:pPr>
              <w:jc w:val="left"/>
              <w:rPr>
                <w:rFonts w:ascii="仿宋" w:hAnsi="仿宋" w:eastAsia="仿宋" w:cs="仿宋"/>
                <w:color w:val="000000"/>
                <w:szCs w:val="21"/>
              </w:rPr>
            </w:pPr>
          </w:p>
        </w:tc>
        <w:tc>
          <w:tcPr>
            <w:tcW w:w="1340"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科技处</w:t>
            </w:r>
          </w:p>
        </w:tc>
      </w:tr>
    </w:tbl>
    <w:p>
      <w:pPr>
        <w:spacing w:line="540" w:lineRule="exact"/>
        <w:ind w:firstLine="562" w:firstLineChars="200"/>
        <w:rPr>
          <w:rFonts w:ascii="仿宋" w:hAnsi="仿宋" w:eastAsia="仿宋"/>
          <w:b/>
          <w:bCs/>
          <w:sz w:val="28"/>
          <w:szCs w:val="28"/>
        </w:rPr>
      </w:pPr>
      <w:r>
        <w:rPr>
          <w:rFonts w:hint="eastAsia" w:ascii="仿宋" w:hAnsi="仿宋" w:eastAsia="仿宋"/>
          <w:b/>
          <w:bCs/>
          <w:sz w:val="28"/>
          <w:szCs w:val="28"/>
        </w:rPr>
        <w:t>（6）预期成效及资金测算</w:t>
      </w:r>
    </w:p>
    <w:tbl>
      <w:tblPr>
        <w:tblStyle w:val="16"/>
        <w:tblW w:w="0" w:type="auto"/>
        <w:jc w:val="center"/>
        <w:tblLayout w:type="autofit"/>
        <w:tblCellMar>
          <w:top w:w="15" w:type="dxa"/>
          <w:left w:w="15" w:type="dxa"/>
          <w:bottom w:w="15" w:type="dxa"/>
          <w:right w:w="15" w:type="dxa"/>
        </w:tblCellMar>
      </w:tblPr>
      <w:tblGrid>
        <w:gridCol w:w="579"/>
        <w:gridCol w:w="3166"/>
        <w:gridCol w:w="3123"/>
        <w:gridCol w:w="489"/>
        <w:gridCol w:w="489"/>
        <w:gridCol w:w="490"/>
      </w:tblGrid>
      <w:tr>
        <w:tblPrEx>
          <w:tblCellMar>
            <w:top w:w="15" w:type="dxa"/>
            <w:left w:w="15" w:type="dxa"/>
            <w:bottom w:w="15" w:type="dxa"/>
            <w:right w:w="15" w:type="dxa"/>
          </w:tblCellMar>
        </w:tblPrEx>
        <w:trPr>
          <w:trHeight w:val="301" w:hRule="atLeast"/>
          <w:jc w:val="center"/>
        </w:trPr>
        <w:tc>
          <w:tcPr>
            <w:tcW w:w="579" w:type="dxa"/>
            <w:vMerge w:val="restart"/>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项目名称</w:t>
            </w:r>
          </w:p>
        </w:tc>
        <w:tc>
          <w:tcPr>
            <w:tcW w:w="3166" w:type="dxa"/>
            <w:vMerge w:val="restart"/>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主要建设内容</w:t>
            </w:r>
          </w:p>
        </w:tc>
        <w:tc>
          <w:tcPr>
            <w:tcW w:w="3123" w:type="dxa"/>
            <w:vMerge w:val="restart"/>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预期建设成效</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建设资金安排表（万元）</w:t>
            </w:r>
          </w:p>
        </w:tc>
      </w:tr>
      <w:tr>
        <w:tblPrEx>
          <w:tblCellMar>
            <w:top w:w="15" w:type="dxa"/>
            <w:left w:w="15" w:type="dxa"/>
            <w:bottom w:w="15" w:type="dxa"/>
            <w:right w:w="15" w:type="dxa"/>
          </w:tblCellMar>
        </w:tblPrEx>
        <w:trPr>
          <w:trHeight w:val="286" w:hRule="atLeast"/>
          <w:jc w:val="center"/>
        </w:trPr>
        <w:tc>
          <w:tcPr>
            <w:tcW w:w="579" w:type="dxa"/>
            <w:vMerge w:val="continue"/>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jc w:val="center"/>
              <w:rPr>
                <w:rFonts w:ascii="仿宋" w:hAnsi="仿宋" w:eastAsia="仿宋" w:cs="仿宋"/>
                <w:b/>
                <w:bCs/>
                <w:color w:val="000000"/>
                <w:szCs w:val="21"/>
              </w:rPr>
            </w:pPr>
          </w:p>
        </w:tc>
        <w:tc>
          <w:tcPr>
            <w:tcW w:w="3166" w:type="dxa"/>
            <w:vMerge w:val="continue"/>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jc w:val="center"/>
              <w:rPr>
                <w:rFonts w:ascii="仿宋" w:hAnsi="仿宋" w:eastAsia="仿宋" w:cs="仿宋"/>
                <w:b/>
                <w:bCs/>
                <w:color w:val="000000"/>
                <w:szCs w:val="21"/>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jc w:val="center"/>
              <w:rPr>
                <w:rFonts w:ascii="仿宋" w:hAnsi="仿宋" w:eastAsia="仿宋" w:cs="仿宋"/>
                <w:b/>
                <w:bCs/>
                <w:color w:val="000000"/>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kern w:val="0"/>
                <w:szCs w:val="21"/>
                <w:lang w:bidi="ar"/>
              </w:rPr>
            </w:pPr>
            <w:r>
              <w:rPr>
                <w:rFonts w:hint="eastAsia" w:ascii="仿宋" w:hAnsi="仿宋" w:eastAsia="仿宋" w:cs="仿宋"/>
                <w:b/>
                <w:bCs/>
                <w:color w:val="000000"/>
                <w:kern w:val="0"/>
                <w:szCs w:val="21"/>
                <w:lang w:bidi="ar"/>
              </w:rPr>
              <w:t>2023年</w:t>
            </w:r>
          </w:p>
        </w:tc>
        <w:tc>
          <w:tcPr>
            <w:tcW w:w="0" w:type="auto"/>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2024年</w:t>
            </w:r>
          </w:p>
        </w:tc>
        <w:tc>
          <w:tcPr>
            <w:tcW w:w="0" w:type="auto"/>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2025年</w:t>
            </w:r>
          </w:p>
        </w:tc>
      </w:tr>
      <w:tr>
        <w:tblPrEx>
          <w:tblCellMar>
            <w:top w:w="15" w:type="dxa"/>
            <w:left w:w="15" w:type="dxa"/>
            <w:bottom w:w="15" w:type="dxa"/>
            <w:right w:w="15" w:type="dxa"/>
          </w:tblCellMar>
        </w:tblPrEx>
        <w:trPr>
          <w:trHeight w:val="450" w:hRule="atLeast"/>
          <w:jc w:val="center"/>
        </w:trPr>
        <w:tc>
          <w:tcPr>
            <w:tcW w:w="579"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Cs w:val="21"/>
              </w:rPr>
            </w:pPr>
            <w:r>
              <w:rPr>
                <w:rFonts w:hint="eastAsia" w:ascii="仿宋" w:hAnsi="仿宋" w:eastAsia="仿宋" w:cs="仿宋"/>
                <w:b/>
                <w:bCs/>
                <w:color w:val="000000"/>
                <w:szCs w:val="21"/>
              </w:rPr>
              <w:t>科研创新，提升办学综合实力</w:t>
            </w:r>
          </w:p>
        </w:tc>
        <w:tc>
          <w:tcPr>
            <w:tcW w:w="3166"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仿宋"/>
                <w:color w:val="000000"/>
                <w:szCs w:val="21"/>
              </w:rPr>
            </w:pPr>
            <w:r>
              <w:rPr>
                <w:rFonts w:hint="eastAsia" w:ascii="仿宋" w:hAnsi="仿宋" w:eastAsia="仿宋" w:cs="仿宋"/>
                <w:color w:val="000000"/>
                <w:szCs w:val="21"/>
              </w:rPr>
              <w:t>加强科研经费投入，优化科研经费使用，提高科研经费的使用效益。充分利用相关成果，加强知识产权保护。借助横向合作，形成科研合力，搭建创新平台、产学研基地，组建服务创新团队，提升科研水平，增强科技创新服务能力，提升科研成果的实用性与转化率。积极探索校校、校企资源共享、协同发展的合作模式，搭建资源共享的服务平台。</w:t>
            </w:r>
          </w:p>
        </w:tc>
        <w:tc>
          <w:tcPr>
            <w:tcW w:w="3123" w:type="dxa"/>
            <w:tcBorders>
              <w:top w:val="single" w:color="000000" w:sz="4" w:space="0"/>
              <w:left w:val="single" w:color="000000" w:sz="4" w:space="0"/>
              <w:bottom w:val="single" w:color="000000" w:sz="4" w:space="0"/>
              <w:right w:val="single" w:color="000000" w:sz="4" w:space="0"/>
            </w:tcBorders>
            <w:vAlign w:val="center"/>
          </w:tcPr>
          <w:p>
            <w:pPr>
              <w:tabs>
                <w:tab w:val="left" w:pos="312"/>
              </w:tabs>
              <w:rPr>
                <w:rFonts w:ascii="仿宋" w:hAnsi="仿宋" w:eastAsia="仿宋" w:cs="仿宋"/>
                <w:color w:val="000000"/>
                <w:szCs w:val="21"/>
              </w:rPr>
            </w:pPr>
            <w:r>
              <w:rPr>
                <w:rFonts w:hint="eastAsia" w:ascii="仿宋" w:hAnsi="仿宋" w:eastAsia="仿宋" w:cs="仿宋"/>
                <w:color w:val="000000"/>
                <w:szCs w:val="21"/>
              </w:rPr>
              <w:t>根据惠州经济实际发展需要，发挥多样化社会服务效能，从智力和技术上支持惠州经济快速转型升级，整体推动经济发展。重点打造省级科研创新、产教融合、技术技能平台30个。建成15个技术技能创新服务平台，8支创新服务团队。获得纵向或横向科研项目立项，国家级15项，省级50项。年均横向技术服务到款额超520万元，年均横向技术服务产生经济效益超1500万元，年均纵向科研经费超200万元。</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Cs w:val="21"/>
              </w:rPr>
            </w:pPr>
            <w:r>
              <w:rPr>
                <w:rFonts w:hint="eastAsia" w:ascii="仿宋" w:hAnsi="仿宋" w:eastAsia="仿宋" w:cs="仿宋"/>
                <w:color w:val="000000"/>
                <w:szCs w:val="21"/>
              </w:rPr>
              <w:t>73</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Cs w:val="21"/>
              </w:rPr>
            </w:pPr>
            <w:r>
              <w:rPr>
                <w:rFonts w:hint="eastAsia" w:ascii="仿宋" w:hAnsi="仿宋" w:eastAsia="仿宋" w:cs="仿宋"/>
                <w:color w:val="000000"/>
                <w:szCs w:val="21"/>
              </w:rPr>
              <w:t>75</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Cs w:val="21"/>
              </w:rPr>
            </w:pPr>
            <w:r>
              <w:rPr>
                <w:rFonts w:hint="eastAsia" w:ascii="仿宋" w:hAnsi="仿宋" w:eastAsia="仿宋" w:cs="仿宋"/>
                <w:color w:val="000000"/>
                <w:szCs w:val="21"/>
              </w:rPr>
              <w:t>80</w:t>
            </w:r>
          </w:p>
        </w:tc>
      </w:tr>
    </w:tbl>
    <w:p/>
    <w:p>
      <w:pPr>
        <w:pStyle w:val="4"/>
      </w:pPr>
      <w:bookmarkStart w:id="67" w:name="_Toc164347853"/>
      <w:r>
        <w:rPr>
          <w:rFonts w:hint="eastAsia"/>
        </w:rPr>
        <w:t>2.</w:t>
      </w:r>
      <w:r>
        <w:fldChar w:fldCharType="begin"/>
      </w:r>
      <w:r>
        <w:instrText xml:space="preserve"> HYPERLINK \l "_Toc28324" </w:instrText>
      </w:r>
      <w:r>
        <w:fldChar w:fldCharType="separate"/>
      </w:r>
      <w:r>
        <w:rPr>
          <w:rFonts w:hint="eastAsia"/>
        </w:rPr>
        <w:t>非学历培训建设项目</w:t>
      </w:r>
      <w:bookmarkEnd w:id="67"/>
      <w:r>
        <w:rPr>
          <w:rFonts w:hint="eastAsia"/>
        </w:rPr>
        <w:fldChar w:fldCharType="end"/>
      </w:r>
    </w:p>
    <w:p>
      <w:pPr>
        <w:spacing w:line="540" w:lineRule="exact"/>
        <w:ind w:firstLine="562" w:firstLineChars="200"/>
        <w:rPr>
          <w:rFonts w:ascii="仿宋" w:hAnsi="仿宋" w:eastAsia="仿宋"/>
          <w:b/>
          <w:bCs/>
          <w:sz w:val="28"/>
          <w:szCs w:val="28"/>
        </w:rPr>
      </w:pPr>
      <w:r>
        <w:rPr>
          <w:rFonts w:hint="eastAsia" w:ascii="仿宋" w:hAnsi="仿宋" w:eastAsia="仿宋"/>
          <w:b/>
          <w:bCs/>
          <w:sz w:val="28"/>
          <w:szCs w:val="28"/>
        </w:rPr>
        <w:t>（1）必要性和可行性</w:t>
      </w:r>
    </w:p>
    <w:p>
      <w:pPr>
        <w:spacing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积极地开展非学历培训，扩大非学历的社会培训教育规模，一方面可以为我校的发展提供经济方面的保障，实现学校自身健康可持续发展。同时，开展社会培训是宣传职业院校影响力的有效途径，通过非学历培训可以提高学校的社会影响力和社会认同度，进一步促进学校的发展。其次，职业院校开展社会培训，可以为企业培养实用型的专业人才，增进企业对职业院校的深入了解，有效地促进产学研的融合，加强职业院校和企业的深度合作。</w:t>
      </w:r>
    </w:p>
    <w:p>
      <w:pPr>
        <w:spacing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当前国家对职业教育和职业培训高度重视，相继出台了一系列的相关扶持政策，为职业院校开展非学历培训提供了强大的制度保障。我校专业学科齐全，师资力量雄厚，实训条件优良，教学制度完善。学校建有报告厅7间（6间的单间可容纳200人以上、1间可容纳800人以上），配备以25平方米以上高清LED屏为主的多媒体教学系统，课室场所面积13920平方米。共3个餐厅，可供8000人同时就餐。建设专门的职业培训中心大楼开展培训业务，6层职业培训中心建筑总面积5842平方米，内有80多间四星级公寓，并设有继续教育中心统筹管理培训业务，满足各专业各层次非学历培训需求。</w:t>
      </w:r>
    </w:p>
    <w:p>
      <w:pPr>
        <w:spacing w:line="540" w:lineRule="exact"/>
        <w:ind w:firstLine="562" w:firstLineChars="200"/>
        <w:rPr>
          <w:rFonts w:ascii="仿宋" w:hAnsi="仿宋" w:eastAsia="仿宋"/>
          <w:b/>
          <w:bCs/>
          <w:sz w:val="28"/>
          <w:szCs w:val="28"/>
        </w:rPr>
      </w:pPr>
      <w:r>
        <w:rPr>
          <w:rFonts w:hint="eastAsia" w:ascii="仿宋" w:hAnsi="仿宋" w:eastAsia="仿宋"/>
          <w:b/>
          <w:bCs/>
          <w:sz w:val="28"/>
          <w:szCs w:val="28"/>
        </w:rPr>
        <w:t>（2）拟解决的关键问题</w:t>
      </w:r>
    </w:p>
    <w:p>
      <w:pPr>
        <w:spacing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针对国家和区域经济社会发展要求，开发服务国家和地方发展战略需要的培训项目，促进我校与惠州市及其产业的融合创新，增强非学历培训服务地方发展的质量和水平，培养地方发展急需的行业人才，打造成为区域行业人才培训的重要高地。打造精品课程，树立培训品牌，吸引社会群体的关注。联合社会培训机构、二级学院等共同开发培训项目，寻找市场，抓住机遇，以具有竞争力、创新的培训项目占有市场。构建起富有自身特色和高质量的非学历教育培训体系，蹚出一条具有特色的非学历教育高质量发展之路，为服务全省经济社会发展战略、推动全民终身学习、满足人民日益增长的多样化学习需求作出贡献。</w:t>
      </w:r>
    </w:p>
    <w:p>
      <w:pPr>
        <w:spacing w:line="540" w:lineRule="exact"/>
        <w:ind w:firstLine="562" w:firstLineChars="200"/>
        <w:rPr>
          <w:rFonts w:ascii="仿宋" w:hAnsi="仿宋" w:eastAsia="仿宋"/>
          <w:b/>
          <w:bCs/>
          <w:sz w:val="28"/>
          <w:szCs w:val="28"/>
        </w:rPr>
      </w:pPr>
      <w:r>
        <w:rPr>
          <w:rFonts w:hint="eastAsia" w:ascii="仿宋" w:hAnsi="仿宋" w:eastAsia="仿宋"/>
          <w:b/>
          <w:bCs/>
          <w:sz w:val="28"/>
          <w:szCs w:val="28"/>
        </w:rPr>
        <w:t>（3）建设目标</w:t>
      </w:r>
    </w:p>
    <w:p>
      <w:pPr>
        <w:spacing w:line="540" w:lineRule="exact"/>
        <w:ind w:firstLine="560" w:firstLineChars="200"/>
        <w:rPr>
          <w:rFonts w:ascii="仿宋" w:hAnsi="仿宋" w:eastAsia="仿宋" w:cs="仿宋"/>
          <w:b/>
          <w:bCs/>
          <w:sz w:val="28"/>
          <w:szCs w:val="28"/>
        </w:rPr>
      </w:pPr>
      <w:r>
        <w:rPr>
          <w:rFonts w:hint="eastAsia" w:ascii="仿宋" w:hAnsi="仿宋" w:eastAsia="仿宋" w:cs="仿宋"/>
          <w:bCs/>
          <w:sz w:val="28"/>
          <w:szCs w:val="28"/>
        </w:rPr>
        <w:t>聚力推动继续教育高质量发展，依托学校雄厚的师资力量和教学资源，聚焦非学历培训及社会服务，打造服务载体，提升辐射能力，进一步提升我校服务社会的能力和水平，为全民终身学习和人才强国战略作出积极贡献。年均非学历培训到账经费超1200万元，每年开展的非学历培训人日数32000人日。</w:t>
      </w:r>
    </w:p>
    <w:p>
      <w:pPr>
        <w:spacing w:line="540" w:lineRule="exact"/>
        <w:ind w:firstLine="562" w:firstLineChars="200"/>
        <w:rPr>
          <w:rFonts w:ascii="仿宋" w:hAnsi="仿宋" w:eastAsia="仿宋"/>
          <w:b/>
          <w:bCs/>
          <w:sz w:val="28"/>
          <w:szCs w:val="28"/>
        </w:rPr>
      </w:pPr>
      <w:r>
        <w:rPr>
          <w:rFonts w:hint="eastAsia" w:ascii="仿宋" w:hAnsi="仿宋" w:eastAsia="仿宋"/>
          <w:b/>
          <w:bCs/>
          <w:sz w:val="28"/>
          <w:szCs w:val="28"/>
        </w:rPr>
        <w:t>（4）重点建设任务</w:t>
      </w:r>
    </w:p>
    <w:p>
      <w:pPr>
        <w:spacing w:line="540" w:lineRule="exact"/>
        <w:ind w:firstLine="562" w:firstLineChars="200"/>
        <w:rPr>
          <w:rFonts w:ascii="仿宋" w:hAnsi="仿宋" w:eastAsia="仿宋" w:cs="仿宋"/>
          <w:b/>
          <w:sz w:val="28"/>
          <w:szCs w:val="28"/>
        </w:rPr>
      </w:pPr>
      <w:r>
        <w:rPr>
          <w:rFonts w:ascii="仿宋" w:hAnsi="仿宋" w:eastAsia="仿宋" w:cs="仿宋"/>
          <w:b/>
          <w:sz w:val="28"/>
          <w:szCs w:val="28"/>
        </w:rPr>
        <w:fldChar w:fldCharType="begin"/>
      </w:r>
      <w:r>
        <w:rPr>
          <w:rFonts w:ascii="仿宋" w:hAnsi="仿宋" w:eastAsia="仿宋" w:cs="仿宋"/>
          <w:b/>
          <w:sz w:val="28"/>
          <w:szCs w:val="28"/>
        </w:rPr>
        <w:instrText xml:space="preserve"> </w:instrText>
      </w:r>
      <w:r>
        <w:rPr>
          <w:rFonts w:hint="eastAsia" w:ascii="仿宋" w:hAnsi="仿宋" w:eastAsia="仿宋" w:cs="仿宋"/>
          <w:b/>
          <w:sz w:val="28"/>
          <w:szCs w:val="28"/>
        </w:rPr>
        <w:instrText xml:space="preserve">= 1 \* GB3</w:instrText>
      </w:r>
      <w:r>
        <w:rPr>
          <w:rFonts w:ascii="仿宋" w:hAnsi="仿宋" w:eastAsia="仿宋" w:cs="仿宋"/>
          <w:b/>
          <w:sz w:val="28"/>
          <w:szCs w:val="28"/>
        </w:rPr>
        <w:instrText xml:space="preserve"> </w:instrText>
      </w:r>
      <w:r>
        <w:rPr>
          <w:rFonts w:ascii="仿宋" w:hAnsi="仿宋" w:eastAsia="仿宋" w:cs="仿宋"/>
          <w:b/>
          <w:sz w:val="28"/>
          <w:szCs w:val="28"/>
        </w:rPr>
        <w:fldChar w:fldCharType="separate"/>
      </w:r>
      <w:r>
        <w:rPr>
          <w:rFonts w:hint="eastAsia" w:ascii="仿宋" w:hAnsi="仿宋" w:eastAsia="仿宋" w:cs="仿宋"/>
          <w:b/>
          <w:sz w:val="28"/>
          <w:szCs w:val="28"/>
        </w:rPr>
        <w:t>①</w:t>
      </w:r>
      <w:r>
        <w:rPr>
          <w:rFonts w:ascii="仿宋" w:hAnsi="仿宋" w:eastAsia="仿宋" w:cs="仿宋"/>
          <w:b/>
          <w:sz w:val="28"/>
          <w:szCs w:val="28"/>
        </w:rPr>
        <w:fldChar w:fldCharType="end"/>
      </w:r>
      <w:r>
        <w:rPr>
          <w:rFonts w:hint="eastAsia" w:ascii="仿宋" w:hAnsi="仿宋" w:eastAsia="仿宋" w:cs="仿宋"/>
          <w:b/>
          <w:sz w:val="28"/>
          <w:szCs w:val="28"/>
        </w:rPr>
        <w:t xml:space="preserve"> 联合二级学院开发特色优势项</w:t>
      </w:r>
    </w:p>
    <w:p>
      <w:pPr>
        <w:spacing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依托高校雄厚的教学与科研资源，充分发挥专业学院的学科优势，与二级学院专业联合，挖掘和开发特色培训项目，打造品牌项目，对优势特色培训项目进行持续性建设，不断增强项目本身的内涵，不断增强其差异化、特色化和品牌竞争力，使特色培训项目真正成为富有生命力和影响力的招牌项目；同时充分利用在校生这个庞大的潜在培训服务对象，开发适应在校生的考级考证之类的培训项目，在目前23个1+X职业技能等级证书的基础上，拓展认定模具工、铣工（数控、普通</w:t>
      </w:r>
      <w:r>
        <w:rPr>
          <w:rFonts w:hint="eastAsia" w:ascii="仿宋" w:hAnsi="仿宋" w:eastAsia="仿宋" w:cs="仿宋"/>
          <w:bCs/>
          <w:sz w:val="28"/>
          <w:szCs w:val="28"/>
          <w:lang w:eastAsia="zh-CN"/>
        </w:rPr>
        <w:t>）</w:t>
      </w:r>
      <w:r>
        <w:rPr>
          <w:rFonts w:hint="eastAsia" w:ascii="仿宋" w:hAnsi="仿宋" w:eastAsia="仿宋" w:cs="仿宋"/>
          <w:bCs/>
          <w:sz w:val="28"/>
          <w:szCs w:val="28"/>
        </w:rPr>
        <w:t>、车工（数控、普通）、汽车维修工、制图员、动物疫病防治员、园林绿化工、广告设计师、计算机程序设计员、互联网营销师、电子商务师、连锁经营管理师、工业机器人系统操作员、无人机装调检验工等职业技能等级证书。</w:t>
      </w:r>
    </w:p>
    <w:p>
      <w:pPr>
        <w:spacing w:line="540" w:lineRule="exact"/>
        <w:ind w:firstLine="562" w:firstLineChars="200"/>
        <w:rPr>
          <w:rFonts w:ascii="仿宋" w:hAnsi="仿宋" w:eastAsia="仿宋" w:cs="仿宋"/>
          <w:b/>
          <w:sz w:val="28"/>
          <w:szCs w:val="28"/>
        </w:rPr>
      </w:pPr>
      <w:r>
        <w:rPr>
          <w:rFonts w:hint="eastAsia" w:ascii="仿宋" w:hAnsi="仿宋" w:eastAsia="仿宋" w:cs="仿宋"/>
          <w:b/>
          <w:sz w:val="28"/>
          <w:szCs w:val="28"/>
        </w:rPr>
        <w:t>② 加强与政府的沟通与合作。</w:t>
      </w:r>
    </w:p>
    <w:p>
      <w:pPr>
        <w:spacing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积极主动与政府沟通协商，拓展政府主导的培训项目，加强培训的规范性、有效性，合理化运行成本。循序渐进地促成项目的顺利进行。依托学校广东省高素质农民培育省级示范基地（综合类）、广东省退役军人教育培训（实训）示范基地、中共惠州市委教育工作委员会党校、广东省社会科学普及基地等优势，高效高质量完成政府主导培训项目。</w:t>
      </w:r>
    </w:p>
    <w:p>
      <w:pPr>
        <w:spacing w:line="540" w:lineRule="exact"/>
        <w:ind w:firstLine="562" w:firstLineChars="200"/>
        <w:rPr>
          <w:rFonts w:ascii="仿宋" w:hAnsi="仿宋" w:eastAsia="仿宋" w:cs="仿宋"/>
          <w:b/>
          <w:sz w:val="28"/>
          <w:szCs w:val="28"/>
        </w:rPr>
      </w:pPr>
      <w:r>
        <w:rPr>
          <w:rFonts w:ascii="仿宋" w:hAnsi="仿宋" w:eastAsia="仿宋" w:cs="仿宋"/>
          <w:b/>
          <w:sz w:val="28"/>
          <w:szCs w:val="28"/>
        </w:rPr>
        <w:fldChar w:fldCharType="begin"/>
      </w:r>
      <w:r>
        <w:rPr>
          <w:rFonts w:ascii="仿宋" w:hAnsi="仿宋" w:eastAsia="仿宋" w:cs="仿宋"/>
          <w:b/>
          <w:sz w:val="28"/>
          <w:szCs w:val="28"/>
        </w:rPr>
        <w:instrText xml:space="preserve"> </w:instrText>
      </w:r>
      <w:r>
        <w:rPr>
          <w:rFonts w:hint="eastAsia" w:ascii="仿宋" w:hAnsi="仿宋" w:eastAsia="仿宋" w:cs="仿宋"/>
          <w:b/>
          <w:sz w:val="28"/>
          <w:szCs w:val="28"/>
        </w:rPr>
        <w:instrText xml:space="preserve">= 3 \* GB3</w:instrText>
      </w:r>
      <w:r>
        <w:rPr>
          <w:rFonts w:ascii="仿宋" w:hAnsi="仿宋" w:eastAsia="仿宋" w:cs="仿宋"/>
          <w:b/>
          <w:sz w:val="28"/>
          <w:szCs w:val="28"/>
        </w:rPr>
        <w:instrText xml:space="preserve"> </w:instrText>
      </w:r>
      <w:r>
        <w:rPr>
          <w:rFonts w:ascii="仿宋" w:hAnsi="仿宋" w:eastAsia="仿宋" w:cs="仿宋"/>
          <w:b/>
          <w:sz w:val="28"/>
          <w:szCs w:val="28"/>
        </w:rPr>
        <w:fldChar w:fldCharType="separate"/>
      </w:r>
      <w:r>
        <w:rPr>
          <w:rFonts w:hint="eastAsia" w:ascii="仿宋" w:hAnsi="仿宋" w:eastAsia="仿宋" w:cs="仿宋"/>
          <w:b/>
          <w:sz w:val="28"/>
          <w:szCs w:val="28"/>
        </w:rPr>
        <w:t>③</w:t>
      </w:r>
      <w:r>
        <w:rPr>
          <w:rFonts w:ascii="仿宋" w:hAnsi="仿宋" w:eastAsia="仿宋" w:cs="仿宋"/>
          <w:b/>
          <w:sz w:val="28"/>
          <w:szCs w:val="28"/>
        </w:rPr>
        <w:fldChar w:fldCharType="end"/>
      </w:r>
      <w:r>
        <w:rPr>
          <w:rFonts w:hint="eastAsia" w:ascii="仿宋" w:hAnsi="仿宋" w:eastAsia="仿宋" w:cs="仿宋"/>
          <w:b/>
          <w:sz w:val="28"/>
          <w:szCs w:val="28"/>
        </w:rPr>
        <w:t xml:space="preserve"> </w:t>
      </w:r>
      <w:r>
        <w:rPr>
          <w:rFonts w:ascii="仿宋" w:hAnsi="仿宋" w:eastAsia="仿宋" w:cs="仿宋"/>
          <w:b/>
          <w:sz w:val="28"/>
          <w:szCs w:val="28"/>
        </w:rPr>
        <w:t>遵循原则、把握市场需求。</w:t>
      </w:r>
    </w:p>
    <w:p>
      <w:pPr>
        <w:spacing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以市场需求为导向，在细分市场中开发项目，充分发挥各个培训领域的发展空间，根据惠州市及周边城市人才需求，细分非学历培训需求，全方位调动校内外各级各类优质培训资源，形成培训合力，满足受训者多样化、个性化的学习需求。</w:t>
      </w:r>
    </w:p>
    <w:p>
      <w:pPr>
        <w:spacing w:line="540" w:lineRule="exact"/>
        <w:ind w:firstLine="562" w:firstLineChars="200"/>
        <w:rPr>
          <w:rFonts w:ascii="仿宋" w:hAnsi="仿宋" w:eastAsia="仿宋"/>
          <w:b/>
          <w:bCs/>
          <w:sz w:val="28"/>
          <w:szCs w:val="28"/>
        </w:rPr>
      </w:pPr>
      <w:r>
        <w:rPr>
          <w:rFonts w:hint="eastAsia" w:ascii="仿宋" w:hAnsi="仿宋" w:eastAsia="仿宋"/>
          <w:b/>
          <w:bCs/>
          <w:sz w:val="28"/>
          <w:szCs w:val="28"/>
        </w:rPr>
        <w:t>（5）建设计划</w:t>
      </w:r>
    </w:p>
    <w:tbl>
      <w:tblPr>
        <w:tblStyle w:val="17"/>
        <w:tblW w:w="0" w:type="auto"/>
        <w:tblInd w:w="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2"/>
        <w:gridCol w:w="1800"/>
        <w:gridCol w:w="3960"/>
        <w:gridCol w:w="1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032" w:type="dxa"/>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lang w:eastAsia="en-US"/>
              </w:rPr>
            </w:pPr>
            <w:r>
              <w:rPr>
                <w:rFonts w:hint="eastAsia" w:ascii="仿宋" w:hAnsi="仿宋" w:eastAsia="仿宋" w:cs="仿宋"/>
                <w:b/>
                <w:bCs/>
                <w:color w:val="000000"/>
                <w:kern w:val="0"/>
                <w:szCs w:val="21"/>
                <w:lang w:eastAsia="en-US"/>
              </w:rPr>
              <w:t>年度</w:t>
            </w:r>
          </w:p>
        </w:tc>
        <w:tc>
          <w:tcPr>
            <w:tcW w:w="1800" w:type="dxa"/>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lang w:eastAsia="en-US"/>
              </w:rPr>
            </w:pPr>
            <w:r>
              <w:rPr>
                <w:rFonts w:hint="eastAsia" w:ascii="仿宋" w:hAnsi="仿宋" w:eastAsia="仿宋" w:cs="仿宋"/>
                <w:b/>
                <w:bCs/>
                <w:color w:val="000000"/>
                <w:kern w:val="0"/>
                <w:szCs w:val="21"/>
                <w:lang w:eastAsia="en-US"/>
              </w:rPr>
              <w:t>建设任务</w:t>
            </w:r>
          </w:p>
        </w:tc>
        <w:tc>
          <w:tcPr>
            <w:tcW w:w="3960" w:type="dxa"/>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lang w:eastAsia="en-US"/>
              </w:rPr>
            </w:pPr>
            <w:r>
              <w:rPr>
                <w:rFonts w:hint="eastAsia" w:ascii="仿宋" w:hAnsi="仿宋" w:eastAsia="仿宋" w:cs="仿宋"/>
                <w:b/>
                <w:bCs/>
                <w:color w:val="000000"/>
                <w:kern w:val="0"/>
                <w:szCs w:val="21"/>
                <w:lang w:eastAsia="en-US"/>
              </w:rPr>
              <w:t>建设内容</w:t>
            </w:r>
          </w:p>
        </w:tc>
        <w:tc>
          <w:tcPr>
            <w:tcW w:w="1548" w:type="dxa"/>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lang w:eastAsia="en-US"/>
              </w:rPr>
            </w:pPr>
            <w:r>
              <w:rPr>
                <w:rFonts w:hint="eastAsia" w:ascii="仿宋" w:hAnsi="仿宋" w:eastAsia="仿宋" w:cs="仿宋"/>
                <w:b/>
                <w:bCs/>
                <w:color w:val="000000"/>
                <w:kern w:val="0"/>
                <w:szCs w:val="21"/>
                <w:lang w:eastAsia="en-US"/>
              </w:rPr>
              <w:t>负责部门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trPr>
        <w:tc>
          <w:tcPr>
            <w:tcW w:w="1032" w:type="dxa"/>
            <w:vAlign w:val="center"/>
          </w:tcPr>
          <w:p>
            <w:pPr>
              <w:spacing w:line="260" w:lineRule="exact"/>
              <w:jc w:val="center"/>
              <w:rPr>
                <w:rFonts w:ascii="仿宋" w:hAnsi="仿宋" w:eastAsia="仿宋" w:cs="仿宋"/>
                <w:b/>
                <w:szCs w:val="21"/>
              </w:rPr>
            </w:pPr>
            <w:r>
              <w:rPr>
                <w:rFonts w:hint="eastAsia" w:ascii="仿宋" w:hAnsi="仿宋" w:eastAsia="仿宋" w:cs="仿宋"/>
                <w:b/>
                <w:szCs w:val="21"/>
              </w:rPr>
              <w:t>2023</w:t>
            </w:r>
          </w:p>
        </w:tc>
        <w:tc>
          <w:tcPr>
            <w:tcW w:w="1800"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非学历培训</w:t>
            </w:r>
          </w:p>
        </w:tc>
        <w:tc>
          <w:tcPr>
            <w:tcW w:w="3960"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非学历培训到账经费600万元，开展的非学历培训人日数32000人日</w:t>
            </w:r>
          </w:p>
        </w:tc>
        <w:tc>
          <w:tcPr>
            <w:tcW w:w="1548"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继续教育中心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1032" w:type="dxa"/>
            <w:vAlign w:val="center"/>
          </w:tcPr>
          <w:p>
            <w:pPr>
              <w:spacing w:line="260" w:lineRule="exact"/>
              <w:jc w:val="center"/>
              <w:rPr>
                <w:rFonts w:ascii="仿宋" w:hAnsi="仿宋" w:eastAsia="仿宋" w:cs="仿宋"/>
                <w:b/>
                <w:szCs w:val="21"/>
              </w:rPr>
            </w:pPr>
            <w:r>
              <w:rPr>
                <w:rFonts w:hint="eastAsia" w:ascii="仿宋" w:hAnsi="仿宋" w:eastAsia="仿宋" w:cs="仿宋"/>
                <w:b/>
                <w:szCs w:val="21"/>
              </w:rPr>
              <w:t>2024</w:t>
            </w:r>
          </w:p>
        </w:tc>
        <w:tc>
          <w:tcPr>
            <w:tcW w:w="1800"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非学历培训</w:t>
            </w:r>
          </w:p>
        </w:tc>
        <w:tc>
          <w:tcPr>
            <w:tcW w:w="3960"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非学历培训到账经费900万元，开展的非学历培训人日数32000人日</w:t>
            </w:r>
          </w:p>
        </w:tc>
        <w:tc>
          <w:tcPr>
            <w:tcW w:w="1548"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继续教育中心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1032" w:type="dxa"/>
            <w:vAlign w:val="center"/>
          </w:tcPr>
          <w:p>
            <w:pPr>
              <w:spacing w:line="260" w:lineRule="exact"/>
              <w:jc w:val="center"/>
              <w:rPr>
                <w:rFonts w:ascii="仿宋" w:hAnsi="仿宋" w:eastAsia="仿宋" w:cs="仿宋"/>
                <w:b/>
                <w:szCs w:val="21"/>
              </w:rPr>
            </w:pPr>
            <w:r>
              <w:rPr>
                <w:rFonts w:hint="eastAsia" w:ascii="仿宋" w:hAnsi="仿宋" w:eastAsia="仿宋" w:cs="仿宋"/>
                <w:b/>
                <w:szCs w:val="21"/>
              </w:rPr>
              <w:t>2025</w:t>
            </w:r>
          </w:p>
        </w:tc>
        <w:tc>
          <w:tcPr>
            <w:tcW w:w="1800"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非学历培训</w:t>
            </w:r>
          </w:p>
        </w:tc>
        <w:tc>
          <w:tcPr>
            <w:tcW w:w="3960"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非学历培训到账经费1200万元，开展的非学历培训人日数32000人日</w:t>
            </w:r>
          </w:p>
        </w:tc>
        <w:tc>
          <w:tcPr>
            <w:tcW w:w="1548" w:type="dxa"/>
            <w:vAlign w:val="center"/>
          </w:tcPr>
          <w:p>
            <w:pPr>
              <w:spacing w:line="260" w:lineRule="exact"/>
              <w:jc w:val="center"/>
              <w:rPr>
                <w:rFonts w:ascii="仿宋" w:hAnsi="仿宋" w:eastAsia="仿宋" w:cs="仿宋"/>
                <w:bCs/>
                <w:szCs w:val="21"/>
              </w:rPr>
            </w:pPr>
            <w:r>
              <w:rPr>
                <w:rFonts w:hint="eastAsia" w:ascii="仿宋" w:hAnsi="仿宋" w:eastAsia="仿宋" w:cs="仿宋"/>
                <w:bCs/>
                <w:szCs w:val="21"/>
              </w:rPr>
              <w:t>继续教育中心</w:t>
            </w:r>
          </w:p>
        </w:tc>
      </w:tr>
    </w:tbl>
    <w:p>
      <w:pPr>
        <w:spacing w:line="540" w:lineRule="exact"/>
        <w:ind w:firstLine="562" w:firstLineChars="200"/>
        <w:rPr>
          <w:rFonts w:ascii="仿宋" w:hAnsi="仿宋" w:eastAsia="仿宋"/>
          <w:b/>
          <w:bCs/>
          <w:sz w:val="28"/>
          <w:szCs w:val="28"/>
        </w:rPr>
      </w:pPr>
      <w:r>
        <w:rPr>
          <w:rFonts w:hint="eastAsia" w:ascii="仿宋" w:hAnsi="仿宋" w:eastAsia="仿宋"/>
          <w:b/>
          <w:bCs/>
          <w:sz w:val="28"/>
          <w:szCs w:val="28"/>
        </w:rPr>
        <w:t>（6）预期成效及资金测算</w:t>
      </w:r>
    </w:p>
    <w:tbl>
      <w:tblPr>
        <w:tblStyle w:val="16"/>
        <w:tblW w:w="0" w:type="auto"/>
        <w:jc w:val="center"/>
        <w:tblLayout w:type="autofit"/>
        <w:tblCellMar>
          <w:top w:w="15" w:type="dxa"/>
          <w:left w:w="15" w:type="dxa"/>
          <w:bottom w:w="15" w:type="dxa"/>
          <w:right w:w="15" w:type="dxa"/>
        </w:tblCellMar>
      </w:tblPr>
      <w:tblGrid>
        <w:gridCol w:w="1055"/>
        <w:gridCol w:w="3214"/>
        <w:gridCol w:w="2522"/>
        <w:gridCol w:w="515"/>
        <w:gridCol w:w="515"/>
        <w:gridCol w:w="515"/>
      </w:tblGrid>
      <w:tr>
        <w:tblPrEx>
          <w:tblCellMar>
            <w:top w:w="15" w:type="dxa"/>
            <w:left w:w="15" w:type="dxa"/>
            <w:bottom w:w="15" w:type="dxa"/>
            <w:right w:w="15" w:type="dxa"/>
          </w:tblCellMar>
        </w:tblPrEx>
        <w:trPr>
          <w:trHeight w:val="301" w:hRule="atLeast"/>
          <w:jc w:val="center"/>
        </w:trPr>
        <w:tc>
          <w:tcPr>
            <w:tcW w:w="1055" w:type="dxa"/>
            <w:vMerge w:val="restart"/>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项目名称</w:t>
            </w:r>
          </w:p>
        </w:tc>
        <w:tc>
          <w:tcPr>
            <w:tcW w:w="3214" w:type="dxa"/>
            <w:vMerge w:val="restart"/>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主要建设内容</w:t>
            </w:r>
          </w:p>
        </w:tc>
        <w:tc>
          <w:tcPr>
            <w:tcW w:w="2522" w:type="dxa"/>
            <w:vMerge w:val="restart"/>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预期建设成效</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建设资金安排表（万元）</w:t>
            </w:r>
          </w:p>
        </w:tc>
      </w:tr>
      <w:tr>
        <w:tblPrEx>
          <w:tblCellMar>
            <w:top w:w="15" w:type="dxa"/>
            <w:left w:w="15" w:type="dxa"/>
            <w:bottom w:w="15" w:type="dxa"/>
            <w:right w:w="15" w:type="dxa"/>
          </w:tblCellMar>
        </w:tblPrEx>
        <w:trPr>
          <w:trHeight w:val="286" w:hRule="atLeast"/>
          <w:jc w:val="center"/>
        </w:trPr>
        <w:tc>
          <w:tcPr>
            <w:tcW w:w="1055" w:type="dxa"/>
            <w:vMerge w:val="continue"/>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jc w:val="center"/>
              <w:rPr>
                <w:rFonts w:ascii="仿宋" w:hAnsi="仿宋" w:eastAsia="仿宋" w:cs="仿宋"/>
                <w:b/>
                <w:bCs/>
                <w:color w:val="000000"/>
                <w:szCs w:val="21"/>
              </w:rPr>
            </w:pPr>
          </w:p>
        </w:tc>
        <w:tc>
          <w:tcPr>
            <w:tcW w:w="3214" w:type="dxa"/>
            <w:vMerge w:val="continue"/>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jc w:val="center"/>
              <w:rPr>
                <w:rFonts w:ascii="仿宋" w:hAnsi="仿宋" w:eastAsia="仿宋" w:cs="仿宋"/>
                <w:b/>
                <w:bCs/>
                <w:color w:val="000000"/>
                <w:szCs w:val="21"/>
              </w:rPr>
            </w:pPr>
          </w:p>
        </w:tc>
        <w:tc>
          <w:tcPr>
            <w:tcW w:w="2522" w:type="dxa"/>
            <w:vMerge w:val="continue"/>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jc w:val="center"/>
              <w:rPr>
                <w:rFonts w:ascii="仿宋" w:hAnsi="仿宋" w:eastAsia="仿宋" w:cs="仿宋"/>
                <w:b/>
                <w:bCs/>
                <w:color w:val="000000"/>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kern w:val="0"/>
                <w:szCs w:val="21"/>
                <w:lang w:bidi="ar"/>
              </w:rPr>
            </w:pPr>
            <w:r>
              <w:rPr>
                <w:rFonts w:hint="eastAsia" w:ascii="仿宋" w:hAnsi="仿宋" w:eastAsia="仿宋" w:cs="仿宋"/>
                <w:b/>
                <w:bCs/>
                <w:color w:val="000000"/>
                <w:kern w:val="0"/>
                <w:szCs w:val="21"/>
                <w:lang w:bidi="ar"/>
              </w:rPr>
              <w:t>2023年</w:t>
            </w:r>
          </w:p>
        </w:tc>
        <w:tc>
          <w:tcPr>
            <w:tcW w:w="0" w:type="auto"/>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2024年</w:t>
            </w:r>
          </w:p>
        </w:tc>
        <w:tc>
          <w:tcPr>
            <w:tcW w:w="0" w:type="auto"/>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2025年</w:t>
            </w:r>
          </w:p>
        </w:tc>
      </w:tr>
      <w:tr>
        <w:tblPrEx>
          <w:tblCellMar>
            <w:top w:w="15" w:type="dxa"/>
            <w:left w:w="15" w:type="dxa"/>
            <w:bottom w:w="15" w:type="dxa"/>
            <w:right w:w="15" w:type="dxa"/>
          </w:tblCellMar>
        </w:tblPrEx>
        <w:trPr>
          <w:trHeight w:val="450" w:hRule="atLeast"/>
          <w:jc w:val="center"/>
        </w:trPr>
        <w:tc>
          <w:tcPr>
            <w:tcW w:w="1055"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Cs w:val="21"/>
              </w:rPr>
            </w:pPr>
            <w:r>
              <w:rPr>
                <w:rFonts w:hint="eastAsia" w:ascii="仿宋" w:hAnsi="仿宋" w:eastAsia="仿宋" w:cs="仿宋"/>
                <w:b/>
                <w:bCs/>
                <w:color w:val="000000"/>
                <w:szCs w:val="21"/>
              </w:rPr>
              <w:t>非学历培训建设项目</w:t>
            </w:r>
          </w:p>
        </w:tc>
        <w:tc>
          <w:tcPr>
            <w:tcW w:w="3214"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仿宋"/>
                <w:color w:val="000000"/>
                <w:szCs w:val="21"/>
              </w:rPr>
            </w:pPr>
            <w:r>
              <w:rPr>
                <w:rFonts w:hint="eastAsia" w:ascii="仿宋" w:hAnsi="仿宋" w:eastAsia="仿宋" w:cs="仿宋"/>
                <w:color w:val="000000"/>
                <w:szCs w:val="21"/>
              </w:rPr>
              <w:t>针对国家和区域经济社会发展要求，开发服务国家和地方发展战略需要的培训项目，促进我校与惠州市及其产业的融合创新，增强非学历教育培训服务地方发展的质量和水平，培养地方发展急需的行业人才，打造成为区域行业人才培训的重要高地。</w:t>
            </w:r>
          </w:p>
        </w:tc>
        <w:tc>
          <w:tcPr>
            <w:tcW w:w="2522"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仿宋"/>
                <w:color w:val="000000"/>
                <w:szCs w:val="21"/>
              </w:rPr>
            </w:pPr>
            <w:r>
              <w:rPr>
                <w:rFonts w:hint="eastAsia" w:ascii="仿宋" w:hAnsi="仿宋" w:eastAsia="仿宋" w:cs="仿宋"/>
                <w:color w:val="000000"/>
                <w:szCs w:val="21"/>
              </w:rPr>
              <w:t>聚力推动继续教育高质量发展，依托学校雄厚的师资力量和教学资源，聚焦非学历培训及社会服务，打造服务载体，提升辐射能力，进一步提升我校服务社会的能力和水平，为全民终身学习和人才强国战略作出积极贡献。年均非学历培训到账经费超1200万元，学校每年开展的非学历培训人日数32000人日。</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Cs w:val="21"/>
              </w:rPr>
            </w:pPr>
            <w:r>
              <w:rPr>
                <w:rFonts w:hint="eastAsia" w:ascii="仿宋" w:hAnsi="仿宋" w:eastAsia="仿宋" w:cs="仿宋"/>
                <w:color w:val="000000"/>
                <w:szCs w:val="21"/>
              </w:rPr>
              <w:t>100</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Cs w:val="21"/>
              </w:rPr>
            </w:pPr>
            <w:r>
              <w:rPr>
                <w:rFonts w:hint="eastAsia" w:ascii="仿宋" w:hAnsi="仿宋" w:eastAsia="仿宋" w:cs="仿宋"/>
                <w:color w:val="000000"/>
                <w:szCs w:val="21"/>
              </w:rPr>
              <w:t>100</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Cs w:val="21"/>
              </w:rPr>
            </w:pPr>
            <w:r>
              <w:rPr>
                <w:rFonts w:hint="eastAsia" w:ascii="仿宋" w:hAnsi="仿宋" w:eastAsia="仿宋" w:cs="仿宋"/>
                <w:color w:val="000000"/>
                <w:szCs w:val="21"/>
              </w:rPr>
              <w:t>100</w:t>
            </w:r>
          </w:p>
        </w:tc>
      </w:tr>
    </w:tbl>
    <w:p>
      <w:pPr>
        <w:spacing w:line="540" w:lineRule="exact"/>
        <w:rPr>
          <w:rFonts w:ascii="仿宋" w:hAnsi="仿宋" w:eastAsia="仿宋"/>
          <w:b/>
          <w:bCs/>
          <w:sz w:val="28"/>
          <w:szCs w:val="28"/>
        </w:rPr>
      </w:pPr>
    </w:p>
    <w:p>
      <w:pPr>
        <w:keepNext/>
        <w:keepLines/>
        <w:spacing w:line="540" w:lineRule="exact"/>
        <w:ind w:firstLine="643" w:firstLineChars="200"/>
        <w:outlineLvl w:val="2"/>
        <w:rPr>
          <w:rFonts w:ascii="Times New Roman" w:hAnsi="Times New Roman" w:eastAsia="仿宋" w:cs="Times New Roman"/>
          <w:b/>
          <w:sz w:val="32"/>
        </w:rPr>
      </w:pPr>
      <w:bookmarkStart w:id="68" w:name="_Toc164347854"/>
      <w:r>
        <w:rPr>
          <w:rFonts w:hint="eastAsia" w:ascii="Times New Roman" w:hAnsi="Times New Roman" w:eastAsia="仿宋" w:cs="Times New Roman"/>
          <w:b/>
          <w:sz w:val="32"/>
        </w:rPr>
        <w:t>3.东西部教育协作与省内结对帮扶项目</w:t>
      </w:r>
      <w:bookmarkEnd w:id="68"/>
    </w:p>
    <w:p>
      <w:pPr>
        <w:keepNext/>
        <w:keepLines/>
        <w:spacing w:line="540" w:lineRule="exact"/>
        <w:ind w:left="420" w:leftChars="200"/>
        <w:outlineLvl w:val="3"/>
        <w:rPr>
          <w:rFonts w:ascii="Times New Roman" w:hAnsi="Times New Roman" w:eastAsia="仿宋"/>
          <w:b/>
          <w:sz w:val="28"/>
          <w:szCs w:val="28"/>
        </w:rPr>
      </w:pPr>
      <w:r>
        <w:rPr>
          <w:rFonts w:hint="eastAsia" w:ascii="Times New Roman" w:hAnsi="Times New Roman" w:eastAsia="仿宋"/>
          <w:b/>
          <w:sz w:val="28"/>
          <w:szCs w:val="28"/>
        </w:rPr>
        <w:t>（1）必要性和可行性</w:t>
      </w:r>
    </w:p>
    <w:p>
      <w:pPr>
        <w:spacing w:line="54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对口帮扶、通过开展东西部协作教育组团式帮扶，是缩小我国东西部差距、促进教育公平、提高教育质量、努力办好人民满意的教育以阻断贫困代际传递的有效方式。根据《广东省惠州市教育局 贵州省黔西南州教育局东西部教育协作框架协议》，我校2021年与普安县中等职业学校建立了结对关系。</w:t>
      </w:r>
    </w:p>
    <w:p>
      <w:pPr>
        <w:spacing w:line="540" w:lineRule="exact"/>
        <w:ind w:firstLine="560" w:firstLineChars="200"/>
        <w:rPr>
          <w:rFonts w:ascii="仿宋" w:hAnsi="仿宋" w:eastAsia="仿宋" w:cs="仿宋"/>
          <w:color w:val="000000"/>
          <w:sz w:val="28"/>
          <w:szCs w:val="28"/>
        </w:rPr>
      </w:pPr>
      <w:r>
        <w:rPr>
          <w:rFonts w:ascii="仿宋" w:hAnsi="仿宋" w:eastAsia="仿宋" w:cs="仿宋"/>
          <w:color w:val="000000"/>
          <w:sz w:val="28"/>
          <w:szCs w:val="28"/>
        </w:rPr>
        <w:t>“全口径全方位融入式帮扶粤东粤西粤北基础教育高质量发展”项目是广东省教育厅为贯彻落实《广东省推动基础教育高发展行动方案的通知》（粤府〔2021〕55号）文件通知开展的行动计划。根据《广东省教育厅关于做好</w:t>
      </w:r>
      <w:r>
        <w:rPr>
          <w:rFonts w:hint="eastAsia" w:ascii="仿宋" w:hAnsi="仿宋" w:eastAsia="仿宋" w:cs="仿宋"/>
          <w:color w:val="000000"/>
          <w:sz w:val="28"/>
          <w:szCs w:val="28"/>
        </w:rPr>
        <w:t>全</w:t>
      </w:r>
      <w:r>
        <w:rPr>
          <w:rFonts w:ascii="仿宋" w:hAnsi="仿宋" w:eastAsia="仿宋" w:cs="仿宋"/>
          <w:color w:val="000000"/>
          <w:sz w:val="28"/>
          <w:szCs w:val="28"/>
        </w:rPr>
        <w:t>口径全方位融入式帮扶粤东粤西粤北基础教育高质量发展工作的通知》（粤教师函〔2021〕27号）和广东省教育厅《关于基础教育对口帮扶协议的审核意见》</w:t>
      </w:r>
      <w:r>
        <w:rPr>
          <w:rFonts w:hint="eastAsia" w:ascii="仿宋" w:hAnsi="仿宋" w:eastAsia="仿宋" w:cs="仿宋"/>
          <w:color w:val="000000"/>
          <w:sz w:val="28"/>
          <w:szCs w:val="28"/>
        </w:rPr>
        <w:t>要求，我校2021年与</w:t>
      </w:r>
      <w:r>
        <w:rPr>
          <w:rFonts w:ascii="仿宋" w:hAnsi="仿宋" w:eastAsia="仿宋" w:cs="仿宋"/>
          <w:color w:val="000000"/>
          <w:sz w:val="28"/>
          <w:szCs w:val="28"/>
        </w:rPr>
        <w:t>韶关市南雄市教育局</w:t>
      </w:r>
      <w:r>
        <w:rPr>
          <w:rFonts w:hint="eastAsia" w:ascii="仿宋" w:hAnsi="仿宋" w:eastAsia="仿宋" w:cs="仿宋"/>
          <w:color w:val="000000"/>
          <w:sz w:val="28"/>
          <w:szCs w:val="28"/>
        </w:rPr>
        <w:t>建立结对帮扶关系。</w:t>
      </w:r>
    </w:p>
    <w:p>
      <w:pPr>
        <w:keepNext/>
        <w:keepLines/>
        <w:spacing w:line="540" w:lineRule="exact"/>
        <w:ind w:firstLine="562" w:firstLineChars="200"/>
        <w:outlineLvl w:val="3"/>
        <w:rPr>
          <w:rFonts w:ascii="Times New Roman" w:hAnsi="Times New Roman" w:eastAsia="仿宋"/>
          <w:b/>
          <w:sz w:val="28"/>
          <w:szCs w:val="28"/>
        </w:rPr>
      </w:pPr>
      <w:r>
        <w:rPr>
          <w:rFonts w:ascii="Times New Roman" w:hAnsi="Times New Roman" w:eastAsia="仿宋"/>
          <w:b/>
          <w:sz w:val="28"/>
          <w:szCs w:val="28"/>
        </w:rPr>
        <w:t>（</w:t>
      </w:r>
      <w:r>
        <w:rPr>
          <w:rFonts w:hint="eastAsia" w:ascii="Times New Roman" w:hAnsi="Times New Roman" w:eastAsia="仿宋"/>
          <w:b/>
          <w:sz w:val="28"/>
          <w:szCs w:val="28"/>
        </w:rPr>
        <w:t>2</w:t>
      </w:r>
      <w:r>
        <w:rPr>
          <w:rFonts w:ascii="Times New Roman" w:hAnsi="Times New Roman" w:eastAsia="仿宋"/>
          <w:b/>
          <w:sz w:val="28"/>
          <w:szCs w:val="28"/>
        </w:rPr>
        <w:t>）</w:t>
      </w:r>
      <w:r>
        <w:rPr>
          <w:rFonts w:hint="eastAsia" w:ascii="Times New Roman" w:hAnsi="Times New Roman" w:eastAsia="仿宋"/>
          <w:b/>
          <w:sz w:val="28"/>
          <w:szCs w:val="28"/>
        </w:rPr>
        <w:t>拟解决的关键问题</w:t>
      </w:r>
    </w:p>
    <w:p>
      <w:pPr>
        <w:spacing w:line="54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根据习近平总书记关于东西部协作工作的重要指示精神，以及中共中央办公厅 国务院办公厅《关于进一步加强东西部扶贫协作工作的指导意见》、贵州省乡村振兴局等四部门《关于印发〈粤黔东西部协作资金管理办法〉的通知》（黔乡振发〔2021〕3号）、《2021年惠州县黔西南州东西部协作目标任务》等文件精神，充分发挥东西部教育帮扶带动作用，提升贵州省黔西南州普安县职业教育教学质量和办学水平，建立长期稳定的发展机制。</w:t>
      </w:r>
    </w:p>
    <w:p>
      <w:pPr>
        <w:spacing w:line="540" w:lineRule="exact"/>
        <w:ind w:firstLine="560" w:firstLineChars="200"/>
        <w:rPr>
          <w:rFonts w:ascii="仿宋" w:hAnsi="仿宋" w:eastAsia="仿宋" w:cs="仿宋"/>
          <w:b/>
          <w:bCs/>
          <w:color w:val="000000"/>
          <w:sz w:val="28"/>
          <w:szCs w:val="28"/>
        </w:rPr>
      </w:pPr>
      <w:r>
        <w:rPr>
          <w:rFonts w:ascii="仿宋" w:hAnsi="仿宋" w:eastAsia="仿宋" w:cs="仿宋"/>
          <w:color w:val="000000"/>
          <w:sz w:val="28"/>
          <w:szCs w:val="28"/>
        </w:rPr>
        <w:t>坚持以习近平新时代中国特色社会主义思想为指导，全面贯彻党的教育</w:t>
      </w:r>
      <w:r>
        <w:rPr>
          <w:rFonts w:hint="eastAsia" w:ascii="仿宋" w:hAnsi="仿宋" w:eastAsia="仿宋" w:cs="仿宋"/>
          <w:color w:val="000000"/>
          <w:sz w:val="28"/>
          <w:szCs w:val="28"/>
        </w:rPr>
        <w:t>路线</w:t>
      </w:r>
      <w:r>
        <w:rPr>
          <w:rFonts w:ascii="仿宋" w:hAnsi="仿宋" w:eastAsia="仿宋" w:cs="仿宋"/>
          <w:color w:val="000000"/>
          <w:sz w:val="28"/>
          <w:szCs w:val="28"/>
        </w:rPr>
        <w:t>方针，以立德树人为根本，以社会主义核心价值观为引领，以培养学生</w:t>
      </w:r>
      <w:r>
        <w:rPr>
          <w:rFonts w:hint="eastAsia" w:ascii="仿宋" w:hAnsi="仿宋" w:eastAsia="仿宋" w:cs="仿宋"/>
          <w:color w:val="000000"/>
          <w:sz w:val="28"/>
          <w:szCs w:val="28"/>
        </w:rPr>
        <w:t>综合性技能型人才</w:t>
      </w:r>
      <w:r>
        <w:rPr>
          <w:rFonts w:ascii="仿宋" w:hAnsi="仿宋" w:eastAsia="仿宋" w:cs="仿宋"/>
          <w:color w:val="000000"/>
          <w:sz w:val="28"/>
          <w:szCs w:val="28"/>
        </w:rPr>
        <w:t>为核心，充分发挥惠州工程职业学院</w:t>
      </w:r>
      <w:r>
        <w:rPr>
          <w:rFonts w:hint="eastAsia" w:ascii="仿宋" w:hAnsi="仿宋" w:eastAsia="仿宋" w:cs="仿宋"/>
          <w:color w:val="000000"/>
          <w:sz w:val="28"/>
          <w:szCs w:val="28"/>
        </w:rPr>
        <w:t>专业建设、</w:t>
      </w:r>
      <w:r>
        <w:rPr>
          <w:rFonts w:ascii="仿宋" w:hAnsi="仿宋" w:eastAsia="仿宋" w:cs="仿宋"/>
          <w:color w:val="000000"/>
          <w:sz w:val="28"/>
          <w:szCs w:val="28"/>
        </w:rPr>
        <w:t>人才资源优势</w:t>
      </w:r>
      <w:r>
        <w:rPr>
          <w:rFonts w:hint="eastAsia" w:ascii="仿宋" w:hAnsi="仿宋" w:eastAsia="仿宋" w:cs="仿宋"/>
          <w:color w:val="000000"/>
          <w:sz w:val="28"/>
          <w:szCs w:val="28"/>
        </w:rPr>
        <w:t>，</w:t>
      </w:r>
      <w:r>
        <w:rPr>
          <w:rFonts w:ascii="仿宋" w:hAnsi="仿宋" w:eastAsia="仿宋" w:cs="仿宋"/>
          <w:color w:val="000000"/>
          <w:sz w:val="28"/>
          <w:szCs w:val="28"/>
        </w:rPr>
        <w:t>精准帮扶南雄市</w:t>
      </w:r>
      <w:r>
        <w:rPr>
          <w:rFonts w:hint="eastAsia" w:ascii="仿宋" w:hAnsi="仿宋" w:eastAsia="仿宋" w:cs="仿宋"/>
          <w:color w:val="000000"/>
          <w:sz w:val="28"/>
          <w:szCs w:val="28"/>
        </w:rPr>
        <w:t>职业学校（</w:t>
      </w:r>
      <w:r>
        <w:rPr>
          <w:rFonts w:ascii="仿宋" w:hAnsi="仿宋" w:eastAsia="仿宋" w:cs="仿宋"/>
          <w:color w:val="000000"/>
          <w:sz w:val="28"/>
          <w:szCs w:val="28"/>
        </w:rPr>
        <w:t>中小学</w:t>
      </w:r>
      <w:r>
        <w:rPr>
          <w:rFonts w:hint="eastAsia" w:ascii="仿宋" w:hAnsi="仿宋" w:eastAsia="仿宋" w:cs="仿宋"/>
          <w:color w:val="000000"/>
          <w:sz w:val="28"/>
          <w:szCs w:val="28"/>
        </w:rPr>
        <w:t>）</w:t>
      </w:r>
      <w:r>
        <w:rPr>
          <w:rFonts w:ascii="仿宋" w:hAnsi="仿宋" w:eastAsia="仿宋" w:cs="仿宋"/>
          <w:color w:val="000000"/>
          <w:sz w:val="28"/>
          <w:szCs w:val="28"/>
        </w:rPr>
        <w:t>，按照新时代国家大政方针和教育部政策要求，分步分批帮扶，构建合理健康、特色</w:t>
      </w:r>
      <w:r>
        <w:rPr>
          <w:rFonts w:hint="eastAsia" w:ascii="仿宋" w:hAnsi="仿宋" w:eastAsia="仿宋" w:cs="仿宋"/>
          <w:color w:val="000000"/>
          <w:sz w:val="28"/>
          <w:szCs w:val="28"/>
        </w:rPr>
        <w:t>鲜明</w:t>
      </w:r>
      <w:r>
        <w:rPr>
          <w:rFonts w:ascii="仿宋" w:hAnsi="仿宋" w:eastAsia="仿宋" w:cs="仿宋"/>
          <w:color w:val="000000"/>
          <w:sz w:val="28"/>
          <w:szCs w:val="28"/>
        </w:rPr>
        <w:t>的学校教育体系和模式，为南雄市</w:t>
      </w:r>
      <w:r>
        <w:rPr>
          <w:rFonts w:hint="eastAsia" w:ascii="仿宋" w:hAnsi="仿宋" w:eastAsia="仿宋" w:cs="仿宋"/>
          <w:color w:val="000000"/>
          <w:sz w:val="28"/>
          <w:szCs w:val="28"/>
        </w:rPr>
        <w:t>职业学校（</w:t>
      </w:r>
      <w:r>
        <w:rPr>
          <w:rFonts w:ascii="仿宋" w:hAnsi="仿宋" w:eastAsia="仿宋" w:cs="仿宋"/>
          <w:color w:val="000000"/>
          <w:sz w:val="28"/>
          <w:szCs w:val="28"/>
        </w:rPr>
        <w:t>中小学</w:t>
      </w:r>
      <w:r>
        <w:rPr>
          <w:rFonts w:hint="eastAsia" w:ascii="仿宋" w:hAnsi="仿宋" w:eastAsia="仿宋" w:cs="仿宋"/>
          <w:color w:val="000000"/>
          <w:sz w:val="28"/>
          <w:szCs w:val="28"/>
        </w:rPr>
        <w:t>）</w:t>
      </w:r>
      <w:r>
        <w:rPr>
          <w:rFonts w:ascii="仿宋" w:hAnsi="仿宋" w:eastAsia="仿宋" w:cs="仿宋"/>
          <w:color w:val="000000"/>
          <w:sz w:val="28"/>
          <w:szCs w:val="28"/>
        </w:rPr>
        <w:t>均衡发展提供优质教育资源，引导高校师生强化服务社会意识，提升服务社会能力。</w:t>
      </w:r>
    </w:p>
    <w:p>
      <w:pPr>
        <w:keepNext/>
        <w:keepLines/>
        <w:spacing w:line="540" w:lineRule="exact"/>
        <w:ind w:firstLine="562" w:firstLineChars="200"/>
        <w:outlineLvl w:val="3"/>
        <w:rPr>
          <w:rFonts w:ascii="Times New Roman" w:hAnsi="Times New Roman" w:eastAsia="仿宋"/>
          <w:b/>
          <w:sz w:val="28"/>
          <w:szCs w:val="28"/>
        </w:rPr>
      </w:pPr>
      <w:r>
        <w:rPr>
          <w:rFonts w:ascii="Times New Roman" w:hAnsi="Times New Roman" w:eastAsia="仿宋"/>
          <w:b/>
          <w:sz w:val="28"/>
          <w:szCs w:val="28"/>
        </w:rPr>
        <w:t>（</w:t>
      </w:r>
      <w:r>
        <w:rPr>
          <w:rFonts w:hint="eastAsia" w:ascii="Times New Roman" w:hAnsi="Times New Roman" w:eastAsia="仿宋"/>
          <w:b/>
          <w:sz w:val="28"/>
          <w:szCs w:val="28"/>
        </w:rPr>
        <w:t>3</w:t>
      </w:r>
      <w:r>
        <w:rPr>
          <w:rFonts w:ascii="Times New Roman" w:hAnsi="Times New Roman" w:eastAsia="仿宋"/>
          <w:b/>
          <w:sz w:val="28"/>
          <w:szCs w:val="28"/>
        </w:rPr>
        <w:t>）</w:t>
      </w:r>
      <w:r>
        <w:rPr>
          <w:rFonts w:hint="eastAsia" w:ascii="Times New Roman" w:hAnsi="Times New Roman" w:eastAsia="仿宋"/>
          <w:b/>
          <w:sz w:val="28"/>
          <w:szCs w:val="28"/>
        </w:rPr>
        <w:t>建设目标</w:t>
      </w:r>
    </w:p>
    <w:p>
      <w:pPr>
        <w:spacing w:line="54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通过与普安县中等职业学校教育协作，缩小东西部地区的教育差距，加强“贵州</w:t>
      </w:r>
      <w:r>
        <w:rPr>
          <w:rFonts w:hint="eastAsia" w:ascii="宋体" w:hAnsi="宋体" w:eastAsia="宋体" w:cs="宋体"/>
          <w:color w:val="000000"/>
          <w:sz w:val="28"/>
          <w:szCs w:val="28"/>
        </w:rPr>
        <w:t>•</w:t>
      </w:r>
      <w:r>
        <w:rPr>
          <w:rFonts w:hint="eastAsia" w:ascii="仿宋" w:hAnsi="仿宋" w:eastAsia="仿宋" w:cs="仿宋"/>
          <w:color w:val="000000"/>
          <w:sz w:val="28"/>
          <w:szCs w:val="28"/>
        </w:rPr>
        <w:t>惠州”职业教育帮扶合作，在互动、互助的实践中增进与贵州省黔西南州普安县中等职业学校的合作，共同更新教育理念，创新教育改革，加强师资建设，提高教育教学水平，共享课程资源，推动贵州职业教育的进步。</w:t>
      </w:r>
    </w:p>
    <w:p>
      <w:pPr>
        <w:spacing w:line="54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通过</w:t>
      </w:r>
      <w:r>
        <w:rPr>
          <w:rFonts w:ascii="仿宋" w:hAnsi="仿宋" w:eastAsia="仿宋" w:cs="仿宋"/>
          <w:color w:val="000000"/>
          <w:sz w:val="28"/>
          <w:szCs w:val="28"/>
        </w:rPr>
        <w:t>充分依托和利用</w:t>
      </w:r>
      <w:r>
        <w:rPr>
          <w:rFonts w:hint="eastAsia" w:ascii="仿宋" w:hAnsi="仿宋" w:eastAsia="仿宋" w:cs="仿宋"/>
          <w:color w:val="000000"/>
          <w:sz w:val="28"/>
          <w:szCs w:val="28"/>
        </w:rPr>
        <w:t>我</w:t>
      </w:r>
      <w:r>
        <w:rPr>
          <w:rFonts w:ascii="仿宋" w:hAnsi="仿宋" w:eastAsia="仿宋" w:cs="仿宋"/>
          <w:color w:val="000000"/>
          <w:sz w:val="28"/>
          <w:szCs w:val="28"/>
        </w:rPr>
        <w:t>院管理、人才、资源、技术方面的优势，通过“校内联动”“点对点”精准帮扶，帮助受援学校在学校管理、党建团建队建、教学质量、师资素质、办学水平等方面全面提升。通过2021－2025年双方结对</w:t>
      </w:r>
      <w:r>
        <w:rPr>
          <w:rFonts w:hint="eastAsia" w:ascii="仿宋" w:hAnsi="仿宋" w:eastAsia="仿宋" w:cs="仿宋"/>
          <w:color w:val="000000"/>
          <w:sz w:val="28"/>
          <w:szCs w:val="28"/>
        </w:rPr>
        <w:t>37</w:t>
      </w:r>
      <w:r>
        <w:rPr>
          <w:rFonts w:ascii="仿宋" w:hAnsi="仿宋" w:eastAsia="仿宋" w:cs="仿宋"/>
          <w:color w:val="000000"/>
          <w:sz w:val="28"/>
          <w:szCs w:val="28"/>
        </w:rPr>
        <w:t>所</w:t>
      </w:r>
      <w:r>
        <w:rPr>
          <w:rFonts w:hint="eastAsia" w:ascii="仿宋" w:hAnsi="仿宋" w:eastAsia="仿宋" w:cs="仿宋"/>
          <w:color w:val="000000"/>
          <w:sz w:val="28"/>
          <w:szCs w:val="28"/>
        </w:rPr>
        <w:t>职业学校（</w:t>
      </w:r>
      <w:r>
        <w:rPr>
          <w:rFonts w:ascii="仿宋" w:hAnsi="仿宋" w:eastAsia="仿宋" w:cs="仿宋"/>
          <w:color w:val="000000"/>
          <w:sz w:val="28"/>
          <w:szCs w:val="28"/>
        </w:rPr>
        <w:t>中小学</w:t>
      </w:r>
      <w:r>
        <w:rPr>
          <w:rFonts w:hint="eastAsia" w:ascii="仿宋" w:hAnsi="仿宋" w:eastAsia="仿宋" w:cs="仿宋"/>
          <w:color w:val="000000"/>
          <w:sz w:val="28"/>
          <w:szCs w:val="28"/>
        </w:rPr>
        <w:t>）</w:t>
      </w:r>
      <w:r>
        <w:rPr>
          <w:rFonts w:ascii="仿宋" w:hAnsi="仿宋" w:eastAsia="仿宋" w:cs="仿宋"/>
          <w:color w:val="000000"/>
          <w:sz w:val="28"/>
          <w:szCs w:val="28"/>
        </w:rPr>
        <w:t>，实现“开局年签署帮扶协议、前三年帮扶成效初显、后两年巩固深化”的目标愿景。</w:t>
      </w:r>
    </w:p>
    <w:p>
      <w:pPr>
        <w:keepNext/>
        <w:keepLines/>
        <w:spacing w:line="540" w:lineRule="exact"/>
        <w:ind w:firstLine="562" w:firstLineChars="200"/>
        <w:outlineLvl w:val="3"/>
        <w:rPr>
          <w:rFonts w:ascii="Times New Roman" w:hAnsi="Times New Roman" w:eastAsia="仿宋"/>
          <w:b/>
          <w:sz w:val="28"/>
          <w:szCs w:val="28"/>
        </w:rPr>
      </w:pPr>
      <w:r>
        <w:rPr>
          <w:rFonts w:ascii="Times New Roman" w:hAnsi="Times New Roman" w:eastAsia="仿宋"/>
          <w:b/>
          <w:sz w:val="28"/>
          <w:szCs w:val="28"/>
        </w:rPr>
        <w:t>（</w:t>
      </w:r>
      <w:r>
        <w:rPr>
          <w:rFonts w:hint="eastAsia" w:ascii="Times New Roman" w:hAnsi="Times New Roman" w:eastAsia="仿宋"/>
          <w:b/>
          <w:sz w:val="28"/>
          <w:szCs w:val="28"/>
        </w:rPr>
        <w:t>4</w:t>
      </w:r>
      <w:r>
        <w:rPr>
          <w:rFonts w:ascii="Times New Roman" w:hAnsi="Times New Roman" w:eastAsia="仿宋"/>
          <w:b/>
          <w:sz w:val="28"/>
          <w:szCs w:val="28"/>
        </w:rPr>
        <w:t>）</w:t>
      </w:r>
      <w:r>
        <w:rPr>
          <w:rFonts w:hint="eastAsia" w:ascii="Times New Roman" w:hAnsi="Times New Roman" w:eastAsia="仿宋"/>
          <w:b/>
          <w:sz w:val="28"/>
          <w:szCs w:val="28"/>
        </w:rPr>
        <w:t>重点建设任务</w:t>
      </w:r>
    </w:p>
    <w:p>
      <w:pPr>
        <w:spacing w:line="540" w:lineRule="exact"/>
        <w:ind w:firstLine="560" w:firstLineChars="200"/>
        <w:rPr>
          <w:rFonts w:ascii="仿宋" w:hAnsi="仿宋" w:eastAsia="仿宋" w:cs="仿宋"/>
          <w:color w:val="000000"/>
          <w:sz w:val="28"/>
          <w:szCs w:val="28"/>
        </w:rPr>
      </w:pPr>
      <w:bookmarkStart w:id="69" w:name="_Hlk113883120"/>
      <w:r>
        <w:rPr>
          <w:rFonts w:hint="eastAsia" w:ascii="仿宋" w:hAnsi="仿宋" w:eastAsia="仿宋" w:cs="仿宋"/>
          <w:color w:val="000000"/>
          <w:sz w:val="28"/>
          <w:szCs w:val="28"/>
        </w:rPr>
        <w:t>帮扶贵州学生开展专业学习</w:t>
      </w:r>
      <w:bookmarkEnd w:id="69"/>
      <w:r>
        <w:rPr>
          <w:rFonts w:hint="eastAsia" w:ascii="仿宋" w:hAnsi="仿宋" w:eastAsia="仿宋" w:cs="仿宋"/>
          <w:color w:val="000000"/>
          <w:sz w:val="28"/>
          <w:szCs w:val="28"/>
        </w:rPr>
        <w:t>：指派学习导师（或班主任）与学生对接，每月与贵州学生交流，传授学习经验，鼓励参加学校各项活动。</w:t>
      </w:r>
    </w:p>
    <w:p>
      <w:pPr>
        <w:spacing w:line="540" w:lineRule="exact"/>
        <w:ind w:firstLine="560" w:firstLineChars="200"/>
        <w:rPr>
          <w:rFonts w:ascii="仿宋" w:hAnsi="仿宋" w:eastAsia="仿宋" w:cs="仿宋"/>
          <w:color w:val="000000"/>
          <w:sz w:val="28"/>
          <w:szCs w:val="28"/>
        </w:rPr>
      </w:pPr>
      <w:bookmarkStart w:id="70" w:name="_Hlk113883133"/>
      <w:r>
        <w:rPr>
          <w:rFonts w:hint="eastAsia" w:ascii="仿宋" w:hAnsi="仿宋" w:eastAsia="仿宋" w:cs="仿宋"/>
          <w:bCs/>
          <w:color w:val="000000"/>
          <w:sz w:val="28"/>
          <w:szCs w:val="28"/>
        </w:rPr>
        <w:t>提升贵州教师教学能力</w:t>
      </w:r>
      <w:bookmarkEnd w:id="70"/>
      <w:r>
        <w:rPr>
          <w:rFonts w:hint="eastAsia" w:ascii="仿宋" w:hAnsi="仿宋" w:eastAsia="仿宋" w:cs="仿宋"/>
          <w:bCs/>
          <w:color w:val="000000"/>
          <w:sz w:val="28"/>
          <w:szCs w:val="28"/>
        </w:rPr>
        <w:t>：</w:t>
      </w:r>
      <w:r>
        <w:rPr>
          <w:rFonts w:hint="eastAsia" w:ascii="仿宋" w:hAnsi="仿宋" w:eastAsia="仿宋" w:cs="仿宋"/>
          <w:color w:val="000000"/>
          <w:sz w:val="28"/>
          <w:szCs w:val="28"/>
        </w:rPr>
        <w:t>与普安县中等职业学校定期开展教学能力提升培训，培训方式主要采用线上方式，由教务处为对方发邀请函、人事处提供培训学时证明。邀请贵州普安教师一同使用我校教师开发的精品在线课程，提供课程相关的教学资料，对授课老师采取“一对一”的线上沟通，帮助老师开展专业课程。在贵州普安学校的需求下，为贵州学生共享我校使用的虚拟仿真实训平台和帮扶联系我校校外实习基地。</w:t>
      </w:r>
    </w:p>
    <w:p>
      <w:pPr>
        <w:spacing w:line="540" w:lineRule="exact"/>
        <w:ind w:firstLine="560" w:firstLineChars="200"/>
        <w:rPr>
          <w:rFonts w:ascii="仿宋" w:hAnsi="仿宋" w:eastAsia="仿宋" w:cs="仿宋"/>
          <w:color w:val="000000"/>
          <w:sz w:val="28"/>
          <w:szCs w:val="28"/>
        </w:rPr>
      </w:pPr>
      <w:r>
        <w:rPr>
          <w:rFonts w:ascii="仿宋" w:hAnsi="仿宋" w:eastAsia="仿宋" w:cs="仿宋"/>
          <w:color w:val="000000"/>
          <w:sz w:val="28"/>
          <w:szCs w:val="28"/>
        </w:rPr>
        <w:t>对韶关</w:t>
      </w:r>
      <w:r>
        <w:rPr>
          <w:rFonts w:hint="eastAsia" w:ascii="仿宋" w:hAnsi="仿宋" w:eastAsia="仿宋" w:cs="仿宋"/>
          <w:color w:val="000000"/>
          <w:sz w:val="28"/>
          <w:szCs w:val="28"/>
        </w:rPr>
        <w:t>基础（职业）教育</w:t>
      </w:r>
      <w:r>
        <w:rPr>
          <w:rFonts w:ascii="仿宋" w:hAnsi="仿宋" w:eastAsia="仿宋" w:cs="仿宋"/>
          <w:color w:val="000000"/>
          <w:sz w:val="28"/>
          <w:szCs w:val="28"/>
        </w:rPr>
        <w:t>精准帮扶</w:t>
      </w:r>
      <w:r>
        <w:rPr>
          <w:rFonts w:hint="eastAsia" w:ascii="仿宋" w:hAnsi="仿宋" w:eastAsia="仿宋" w:cs="仿宋"/>
          <w:color w:val="000000"/>
          <w:sz w:val="28"/>
          <w:szCs w:val="28"/>
        </w:rPr>
        <w:t>：</w:t>
      </w:r>
      <w:r>
        <w:rPr>
          <w:rFonts w:ascii="仿宋" w:hAnsi="仿宋" w:eastAsia="仿宋" w:cs="仿宋"/>
          <w:color w:val="000000"/>
          <w:sz w:val="28"/>
          <w:szCs w:val="28"/>
        </w:rPr>
        <w:t>分析</w:t>
      </w:r>
      <w:r>
        <w:rPr>
          <w:rFonts w:hint="eastAsia" w:ascii="仿宋" w:hAnsi="仿宋" w:eastAsia="仿宋" w:cs="仿宋"/>
          <w:color w:val="000000"/>
          <w:sz w:val="28"/>
          <w:szCs w:val="28"/>
        </w:rPr>
        <w:t>研判</w:t>
      </w:r>
      <w:r>
        <w:rPr>
          <w:rFonts w:ascii="仿宋" w:hAnsi="仿宋" w:eastAsia="仿宋" w:cs="仿宋"/>
          <w:color w:val="000000"/>
          <w:sz w:val="28"/>
          <w:szCs w:val="28"/>
        </w:rPr>
        <w:t>南雄市</w:t>
      </w:r>
      <w:r>
        <w:rPr>
          <w:rFonts w:hint="eastAsia" w:ascii="仿宋" w:hAnsi="仿宋" w:eastAsia="仿宋" w:cs="仿宋"/>
          <w:color w:val="000000"/>
          <w:sz w:val="28"/>
          <w:szCs w:val="28"/>
        </w:rPr>
        <w:t>37</w:t>
      </w:r>
      <w:r>
        <w:rPr>
          <w:rFonts w:ascii="仿宋" w:hAnsi="仿宋" w:eastAsia="仿宋" w:cs="仿宋"/>
          <w:color w:val="000000"/>
          <w:sz w:val="28"/>
          <w:szCs w:val="28"/>
        </w:rPr>
        <w:t>所</w:t>
      </w:r>
      <w:bookmarkStart w:id="71" w:name="_Hlk100227786"/>
      <w:r>
        <w:rPr>
          <w:rFonts w:hint="eastAsia" w:ascii="仿宋" w:hAnsi="仿宋" w:eastAsia="仿宋" w:cs="仿宋"/>
          <w:color w:val="000000"/>
          <w:sz w:val="28"/>
          <w:szCs w:val="28"/>
        </w:rPr>
        <w:t>职业学校（</w:t>
      </w:r>
      <w:r>
        <w:rPr>
          <w:rFonts w:ascii="仿宋" w:hAnsi="仿宋" w:eastAsia="仿宋" w:cs="仿宋"/>
          <w:color w:val="000000"/>
          <w:sz w:val="28"/>
          <w:szCs w:val="28"/>
        </w:rPr>
        <w:t>中小学</w:t>
      </w:r>
      <w:r>
        <w:rPr>
          <w:rFonts w:hint="eastAsia" w:ascii="仿宋" w:hAnsi="仿宋" w:eastAsia="仿宋" w:cs="仿宋"/>
          <w:color w:val="000000"/>
          <w:sz w:val="28"/>
          <w:szCs w:val="28"/>
        </w:rPr>
        <w:t>）</w:t>
      </w:r>
      <w:bookmarkEnd w:id="71"/>
      <w:r>
        <w:rPr>
          <w:rFonts w:ascii="仿宋" w:hAnsi="仿宋" w:eastAsia="仿宋" w:cs="仿宋"/>
          <w:color w:val="000000"/>
          <w:sz w:val="28"/>
          <w:szCs w:val="28"/>
        </w:rPr>
        <w:t>教育管理的弱项和短板，确定帮扶对象</w:t>
      </w:r>
      <w:r>
        <w:rPr>
          <w:rFonts w:hint="eastAsia" w:ascii="仿宋" w:hAnsi="仿宋" w:eastAsia="仿宋" w:cs="仿宋"/>
          <w:color w:val="000000"/>
          <w:sz w:val="28"/>
          <w:szCs w:val="28"/>
        </w:rPr>
        <w:t>（项目）</w:t>
      </w:r>
      <w:r>
        <w:rPr>
          <w:rFonts w:ascii="仿宋" w:hAnsi="仿宋" w:eastAsia="仿宋" w:cs="仿宋"/>
          <w:color w:val="000000"/>
          <w:sz w:val="28"/>
          <w:szCs w:val="28"/>
        </w:rPr>
        <w:t>，分步分批进行帮扶，激发帮扶积极性和竞争力，形成学校间比赶超的态势，最大化突显帮扶效果。通过抓好</w:t>
      </w:r>
      <w:r>
        <w:rPr>
          <w:rFonts w:hint="eastAsia" w:ascii="仿宋" w:hAnsi="仿宋" w:eastAsia="仿宋" w:cs="仿宋"/>
          <w:color w:val="000000"/>
          <w:sz w:val="28"/>
          <w:szCs w:val="28"/>
        </w:rPr>
        <w:t>专业与课程建设、技能竞赛、实训基地建设、</w:t>
      </w:r>
      <w:r>
        <w:rPr>
          <w:rFonts w:ascii="仿宋" w:hAnsi="仿宋" w:eastAsia="仿宋" w:cs="仿宋"/>
          <w:color w:val="000000"/>
          <w:sz w:val="28"/>
          <w:szCs w:val="28"/>
        </w:rPr>
        <w:t>教学</w:t>
      </w:r>
      <w:r>
        <w:rPr>
          <w:rFonts w:hint="eastAsia" w:ascii="仿宋" w:hAnsi="仿宋" w:eastAsia="仿宋" w:cs="仿宋"/>
          <w:color w:val="000000"/>
          <w:sz w:val="28"/>
          <w:szCs w:val="28"/>
        </w:rPr>
        <w:t>研究、信息技术</w:t>
      </w:r>
      <w:r>
        <w:rPr>
          <w:rFonts w:ascii="仿宋" w:hAnsi="仿宋" w:eastAsia="仿宋" w:cs="仿宋"/>
          <w:color w:val="000000"/>
          <w:sz w:val="28"/>
          <w:szCs w:val="28"/>
        </w:rPr>
        <w:t>培训、</w:t>
      </w:r>
      <w:r>
        <w:rPr>
          <w:rFonts w:hint="eastAsia" w:ascii="仿宋" w:hAnsi="仿宋" w:eastAsia="仿宋" w:cs="仿宋"/>
          <w:color w:val="000000"/>
          <w:sz w:val="28"/>
          <w:szCs w:val="28"/>
        </w:rPr>
        <w:t>社会化服务等途径</w:t>
      </w:r>
      <w:r>
        <w:rPr>
          <w:rFonts w:ascii="仿宋" w:hAnsi="仿宋" w:eastAsia="仿宋" w:cs="仿宋"/>
          <w:color w:val="000000"/>
          <w:sz w:val="28"/>
          <w:szCs w:val="28"/>
        </w:rPr>
        <w:t>，</w:t>
      </w:r>
      <w:r>
        <w:rPr>
          <w:rFonts w:hint="eastAsia" w:ascii="仿宋" w:hAnsi="仿宋" w:eastAsia="仿宋" w:cs="仿宋"/>
          <w:color w:val="000000"/>
          <w:sz w:val="28"/>
          <w:szCs w:val="28"/>
        </w:rPr>
        <w:t>促进</w:t>
      </w:r>
      <w:r>
        <w:rPr>
          <w:rFonts w:ascii="仿宋" w:hAnsi="仿宋" w:eastAsia="仿宋" w:cs="仿宋"/>
          <w:color w:val="000000"/>
          <w:sz w:val="28"/>
          <w:szCs w:val="28"/>
        </w:rPr>
        <w:t>教育教学资源得到丰富、学校管理得以均衡</w:t>
      </w:r>
      <w:r>
        <w:rPr>
          <w:rFonts w:hint="eastAsia" w:ascii="仿宋" w:hAnsi="仿宋" w:eastAsia="仿宋" w:cs="仿宋"/>
          <w:color w:val="000000"/>
          <w:sz w:val="28"/>
          <w:szCs w:val="28"/>
        </w:rPr>
        <w:t>、</w:t>
      </w:r>
      <w:r>
        <w:rPr>
          <w:rFonts w:ascii="仿宋" w:hAnsi="仿宋" w:eastAsia="仿宋" w:cs="仿宋"/>
          <w:color w:val="000000"/>
          <w:sz w:val="28"/>
          <w:szCs w:val="28"/>
        </w:rPr>
        <w:t>健康发展的预期效果。</w:t>
      </w:r>
    </w:p>
    <w:p>
      <w:pPr>
        <w:spacing w:line="540" w:lineRule="exact"/>
        <w:ind w:firstLine="560" w:firstLineChars="200"/>
        <w:rPr>
          <w:rFonts w:ascii="仿宋" w:hAnsi="仿宋" w:eastAsia="仿宋" w:cs="仿宋"/>
          <w:color w:val="000000"/>
          <w:sz w:val="28"/>
          <w:szCs w:val="28"/>
        </w:rPr>
      </w:pPr>
      <w:r>
        <w:rPr>
          <w:rFonts w:ascii="仿宋" w:hAnsi="仿宋" w:eastAsia="仿宋" w:cs="仿宋"/>
          <w:color w:val="000000"/>
          <w:sz w:val="28"/>
          <w:szCs w:val="28"/>
        </w:rPr>
        <w:t>结合三方特色打造结对帮扶典型</w:t>
      </w:r>
      <w:r>
        <w:rPr>
          <w:rFonts w:hint="eastAsia" w:ascii="仿宋" w:hAnsi="仿宋" w:eastAsia="仿宋" w:cs="仿宋"/>
          <w:color w:val="000000"/>
          <w:sz w:val="28"/>
          <w:szCs w:val="28"/>
        </w:rPr>
        <w:t>：</w:t>
      </w:r>
      <w:r>
        <w:rPr>
          <w:rFonts w:ascii="仿宋" w:hAnsi="仿宋" w:eastAsia="仿宋" w:cs="仿宋"/>
          <w:color w:val="000000"/>
          <w:sz w:val="28"/>
          <w:szCs w:val="28"/>
        </w:rPr>
        <w:t>坚持特色发展，依托和利用</w:t>
      </w:r>
      <w:r>
        <w:rPr>
          <w:rFonts w:hint="eastAsia" w:ascii="仿宋" w:hAnsi="仿宋" w:eastAsia="仿宋" w:cs="仿宋"/>
          <w:color w:val="000000"/>
          <w:sz w:val="28"/>
          <w:szCs w:val="28"/>
        </w:rPr>
        <w:t>我院“强农、优商、精工”专业建设和师</w:t>
      </w:r>
      <w:r>
        <w:rPr>
          <w:rFonts w:ascii="仿宋" w:hAnsi="仿宋" w:eastAsia="仿宋" w:cs="仿宋"/>
          <w:color w:val="000000"/>
          <w:sz w:val="28"/>
          <w:szCs w:val="28"/>
        </w:rPr>
        <w:t>生力量，立足南雄市文化特色和帮扶</w:t>
      </w:r>
      <w:r>
        <w:rPr>
          <w:rFonts w:hint="eastAsia" w:ascii="仿宋" w:hAnsi="仿宋" w:eastAsia="仿宋" w:cs="仿宋"/>
          <w:color w:val="000000"/>
          <w:sz w:val="28"/>
          <w:szCs w:val="28"/>
        </w:rPr>
        <w:t>职业学校（中小学）</w:t>
      </w:r>
      <w:r>
        <w:rPr>
          <w:rFonts w:ascii="仿宋" w:hAnsi="仿宋" w:eastAsia="仿宋" w:cs="仿宋"/>
          <w:color w:val="000000"/>
          <w:sz w:val="28"/>
          <w:szCs w:val="28"/>
        </w:rPr>
        <w:t>自身资源优势，加强分类指导，鼓励内涵发展，因地因校制宜，协同打造</w:t>
      </w:r>
      <w:r>
        <w:rPr>
          <w:rFonts w:hint="eastAsia" w:ascii="仿宋" w:hAnsi="仿宋" w:eastAsia="仿宋" w:cs="仿宋"/>
          <w:color w:val="000000"/>
          <w:sz w:val="28"/>
          <w:szCs w:val="28"/>
        </w:rPr>
        <w:t>精品专业、精品</w:t>
      </w:r>
      <w:r>
        <w:rPr>
          <w:rFonts w:ascii="仿宋" w:hAnsi="仿宋" w:eastAsia="仿宋" w:cs="仿宋"/>
          <w:color w:val="000000"/>
          <w:sz w:val="28"/>
          <w:szCs w:val="28"/>
        </w:rPr>
        <w:t>课程</w:t>
      </w:r>
      <w:r>
        <w:rPr>
          <w:rFonts w:hint="eastAsia" w:ascii="仿宋" w:hAnsi="仿宋" w:eastAsia="仿宋" w:cs="仿宋"/>
          <w:color w:val="000000"/>
          <w:sz w:val="28"/>
          <w:szCs w:val="28"/>
        </w:rPr>
        <w:t>建设项目和</w:t>
      </w:r>
      <w:r>
        <w:rPr>
          <w:rFonts w:ascii="仿宋" w:hAnsi="仿宋" w:eastAsia="仿宋" w:cs="仿宋"/>
          <w:color w:val="000000"/>
          <w:sz w:val="28"/>
          <w:szCs w:val="28"/>
        </w:rPr>
        <w:t>地方特色的典型案例，</w:t>
      </w:r>
      <w:r>
        <w:rPr>
          <w:rFonts w:hint="eastAsia" w:ascii="仿宋" w:hAnsi="仿宋" w:eastAsia="仿宋" w:cs="仿宋"/>
          <w:color w:val="000000"/>
          <w:sz w:val="28"/>
          <w:szCs w:val="28"/>
        </w:rPr>
        <w:t>加强职业学校（中小学）技能、文化</w:t>
      </w:r>
      <w:r>
        <w:rPr>
          <w:rFonts w:ascii="仿宋" w:hAnsi="仿宋" w:eastAsia="仿宋" w:cs="仿宋"/>
          <w:color w:val="000000"/>
          <w:sz w:val="28"/>
          <w:szCs w:val="28"/>
        </w:rPr>
        <w:t>竞赛活动的组织，</w:t>
      </w:r>
      <w:r>
        <w:rPr>
          <w:rFonts w:hint="eastAsia" w:ascii="仿宋" w:hAnsi="仿宋" w:eastAsia="仿宋" w:cs="仿宋"/>
          <w:color w:val="000000"/>
          <w:sz w:val="28"/>
          <w:szCs w:val="28"/>
        </w:rPr>
        <w:t>促使职业学校（中小学）教育教学水平、文化建设有效提升，</w:t>
      </w:r>
      <w:r>
        <w:rPr>
          <w:rFonts w:ascii="仿宋" w:hAnsi="仿宋" w:eastAsia="仿宋" w:cs="仿宋"/>
          <w:color w:val="000000"/>
          <w:sz w:val="28"/>
          <w:szCs w:val="28"/>
        </w:rPr>
        <w:t xml:space="preserve">形成“一校一品”“一校多品”的新局面。 </w:t>
      </w:r>
    </w:p>
    <w:p>
      <w:pPr>
        <w:keepNext/>
        <w:keepLines/>
        <w:spacing w:line="540" w:lineRule="exact"/>
        <w:ind w:firstLine="560" w:firstLineChars="200"/>
        <w:outlineLvl w:val="3"/>
        <w:rPr>
          <w:rFonts w:ascii="仿宋" w:hAnsi="仿宋" w:eastAsia="仿宋" w:cs="仿宋"/>
          <w:color w:val="000000"/>
          <w:sz w:val="28"/>
          <w:szCs w:val="28"/>
        </w:rPr>
      </w:pPr>
      <w:r>
        <w:rPr>
          <w:rFonts w:ascii="仿宋" w:hAnsi="仿宋" w:eastAsia="仿宋" w:cs="仿宋"/>
          <w:color w:val="000000"/>
          <w:sz w:val="28"/>
          <w:szCs w:val="28"/>
        </w:rPr>
        <w:t>以点带面辐射韶关区域教育发展：通过</w:t>
      </w:r>
      <w:r>
        <w:rPr>
          <w:rFonts w:hint="eastAsia" w:ascii="仿宋" w:hAnsi="仿宋" w:eastAsia="仿宋" w:cs="仿宋"/>
          <w:color w:val="000000"/>
          <w:sz w:val="28"/>
          <w:szCs w:val="28"/>
        </w:rPr>
        <w:t>帮助受援学校分析研究当地的经济发展规划和产业发展方向，协助修改完善学校中长期发展规划、专业建设规划、师资队伍建设规划并落实具体建设任务。加强受援学校管理干部和师资队伍的培训，进一步转变受援学校的职教理念，提升教育教学管理水平，提升教师的教学能力和水平。建立教学管理人员和骨干教师互派交流机制，互派人员进行挂职和学习实践。根据专业建设需求，帮助受援职业学校制定符合实际的实训基地建设计划，最大限度地建设和利用好实训资源，提升受援学校办学水平和社会服务能力。</w:t>
      </w:r>
    </w:p>
    <w:p>
      <w:pPr>
        <w:keepNext/>
        <w:keepLines/>
        <w:spacing w:line="540" w:lineRule="exact"/>
        <w:ind w:firstLine="562" w:firstLineChars="200"/>
        <w:outlineLvl w:val="3"/>
        <w:rPr>
          <w:rFonts w:ascii="Times New Roman" w:hAnsi="Times New Roman" w:eastAsia="仿宋"/>
          <w:b/>
          <w:sz w:val="28"/>
          <w:szCs w:val="28"/>
        </w:rPr>
      </w:pPr>
      <w:r>
        <w:rPr>
          <w:rFonts w:hint="eastAsia" w:ascii="Times New Roman" w:hAnsi="Times New Roman" w:eastAsia="仿宋"/>
          <w:b/>
          <w:sz w:val="28"/>
          <w:szCs w:val="28"/>
        </w:rPr>
        <w:t>（5）建设计划</w:t>
      </w:r>
    </w:p>
    <w:p>
      <w:pPr>
        <w:spacing w:line="540" w:lineRule="exact"/>
        <w:ind w:firstLine="560" w:firstLineChars="200"/>
        <w:rPr>
          <w:rFonts w:ascii="仿宋" w:hAnsi="仿宋" w:eastAsia="仿宋" w:cs="仿宋"/>
          <w:color w:val="000000"/>
          <w:sz w:val="28"/>
          <w:szCs w:val="28"/>
        </w:rPr>
      </w:pPr>
    </w:p>
    <w:tbl>
      <w:tblPr>
        <w:tblStyle w:val="17"/>
        <w:tblW w:w="0" w:type="auto"/>
        <w:tblInd w:w="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8"/>
        <w:gridCol w:w="1764"/>
        <w:gridCol w:w="3828"/>
        <w:gridCol w:w="15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1248" w:type="dxa"/>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lang w:eastAsia="en-US"/>
              </w:rPr>
            </w:pPr>
            <w:r>
              <w:rPr>
                <w:rFonts w:hint="eastAsia" w:ascii="仿宋" w:hAnsi="仿宋" w:eastAsia="仿宋" w:cs="仿宋"/>
                <w:b/>
                <w:bCs/>
                <w:color w:val="000000"/>
                <w:kern w:val="0"/>
                <w:szCs w:val="21"/>
                <w:lang w:eastAsia="en-US"/>
              </w:rPr>
              <w:t>年度</w:t>
            </w:r>
          </w:p>
        </w:tc>
        <w:tc>
          <w:tcPr>
            <w:tcW w:w="1764" w:type="dxa"/>
            <w:shd w:val="clear" w:color="auto" w:fill="4874CB" w:themeFill="accent1"/>
          </w:tcPr>
          <w:p>
            <w:pPr>
              <w:widowControl/>
              <w:topLinePunct/>
              <w:spacing w:line="560" w:lineRule="exact"/>
              <w:jc w:val="center"/>
              <w:rPr>
                <w:rFonts w:ascii="仿宋" w:hAnsi="仿宋" w:eastAsia="仿宋" w:cs="仿宋"/>
                <w:b/>
                <w:bCs/>
                <w:color w:val="000000"/>
                <w:kern w:val="0"/>
                <w:szCs w:val="21"/>
                <w:lang w:eastAsia="en-US"/>
              </w:rPr>
            </w:pPr>
            <w:r>
              <w:rPr>
                <w:rFonts w:hint="eastAsia" w:ascii="仿宋" w:hAnsi="仿宋" w:eastAsia="仿宋" w:cs="仿宋"/>
                <w:b/>
                <w:bCs/>
                <w:color w:val="000000"/>
                <w:kern w:val="0"/>
                <w:szCs w:val="21"/>
                <w:lang w:eastAsia="en-US"/>
              </w:rPr>
              <w:t>建设任务</w:t>
            </w:r>
          </w:p>
        </w:tc>
        <w:tc>
          <w:tcPr>
            <w:tcW w:w="3828" w:type="dxa"/>
            <w:shd w:val="clear" w:color="auto" w:fill="4874CB" w:themeFill="accent1"/>
          </w:tcPr>
          <w:p>
            <w:pPr>
              <w:widowControl/>
              <w:topLinePunct/>
              <w:spacing w:line="560" w:lineRule="exact"/>
              <w:jc w:val="center"/>
              <w:rPr>
                <w:rFonts w:ascii="仿宋" w:hAnsi="仿宋" w:eastAsia="仿宋" w:cs="仿宋"/>
                <w:b/>
                <w:bCs/>
                <w:color w:val="000000"/>
                <w:kern w:val="0"/>
                <w:szCs w:val="21"/>
                <w:lang w:eastAsia="en-US"/>
              </w:rPr>
            </w:pPr>
            <w:r>
              <w:rPr>
                <w:rFonts w:hint="eastAsia" w:ascii="仿宋" w:hAnsi="仿宋" w:eastAsia="仿宋" w:cs="仿宋"/>
                <w:b/>
                <w:bCs/>
                <w:color w:val="000000"/>
                <w:kern w:val="0"/>
                <w:szCs w:val="21"/>
                <w:lang w:eastAsia="en-US"/>
              </w:rPr>
              <w:t>建设内容</w:t>
            </w:r>
          </w:p>
        </w:tc>
        <w:tc>
          <w:tcPr>
            <w:tcW w:w="1591" w:type="dxa"/>
            <w:shd w:val="clear" w:color="auto" w:fill="4874CB" w:themeFill="accent1"/>
          </w:tcPr>
          <w:p>
            <w:pPr>
              <w:widowControl/>
              <w:topLinePunct/>
              <w:spacing w:line="560" w:lineRule="exact"/>
              <w:jc w:val="center"/>
              <w:rPr>
                <w:rFonts w:ascii="仿宋" w:hAnsi="仿宋" w:eastAsia="仿宋" w:cs="仿宋"/>
                <w:b/>
                <w:bCs/>
                <w:color w:val="000000"/>
                <w:kern w:val="0"/>
                <w:szCs w:val="21"/>
                <w:lang w:eastAsia="en-US"/>
              </w:rPr>
            </w:pPr>
            <w:r>
              <w:rPr>
                <w:rFonts w:hint="eastAsia" w:ascii="仿宋" w:hAnsi="仿宋" w:eastAsia="仿宋" w:cs="仿宋"/>
                <w:b/>
                <w:bCs/>
                <w:color w:val="000000"/>
                <w:kern w:val="0"/>
                <w:szCs w:val="21"/>
                <w:lang w:eastAsia="en-US"/>
              </w:rPr>
              <w:t>负责部门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248" w:type="dxa"/>
            <w:vMerge w:val="restart"/>
            <w:vAlign w:val="center"/>
          </w:tcPr>
          <w:p>
            <w:pPr>
              <w:spacing w:line="260" w:lineRule="exact"/>
              <w:jc w:val="center"/>
              <w:rPr>
                <w:rFonts w:asciiTheme="minorEastAsia" w:hAnsiTheme="minorEastAsia" w:cstheme="minorEastAsia"/>
                <w:b/>
                <w:bCs/>
                <w:color w:val="000000"/>
                <w:szCs w:val="21"/>
              </w:rPr>
            </w:pPr>
            <w:r>
              <w:rPr>
                <w:rFonts w:hint="eastAsia" w:asciiTheme="minorEastAsia" w:hAnsiTheme="minorEastAsia" w:cstheme="minorEastAsia"/>
                <w:b/>
                <w:bCs/>
                <w:color w:val="000000"/>
                <w:szCs w:val="21"/>
              </w:rPr>
              <w:t>2023</w:t>
            </w:r>
          </w:p>
        </w:tc>
        <w:tc>
          <w:tcPr>
            <w:tcW w:w="1764" w:type="dxa"/>
            <w:vAlign w:val="center"/>
          </w:tcPr>
          <w:p>
            <w:pPr>
              <w:spacing w:line="260" w:lineRule="exact"/>
              <w:jc w:val="left"/>
              <w:rPr>
                <w:rFonts w:ascii="仿宋" w:hAnsi="仿宋" w:eastAsia="仿宋" w:cs="仿宋"/>
                <w:color w:val="000000"/>
                <w:szCs w:val="21"/>
              </w:rPr>
            </w:pPr>
            <w:r>
              <w:rPr>
                <w:rFonts w:hint="eastAsia" w:ascii="仿宋" w:hAnsi="仿宋" w:eastAsia="仿宋" w:cs="仿宋"/>
                <w:color w:val="000000"/>
                <w:szCs w:val="21"/>
              </w:rPr>
              <w:t>贵州省黔西南州普安县中等职业学校东西部教育协作项目</w:t>
            </w:r>
          </w:p>
        </w:tc>
        <w:tc>
          <w:tcPr>
            <w:tcW w:w="3828" w:type="dxa"/>
            <w:vAlign w:val="center"/>
          </w:tcPr>
          <w:p>
            <w:pPr>
              <w:spacing w:line="260" w:lineRule="exact"/>
              <w:jc w:val="left"/>
              <w:rPr>
                <w:rFonts w:ascii="仿宋" w:hAnsi="仿宋" w:eastAsia="仿宋" w:cs="仿宋"/>
                <w:color w:val="000000"/>
                <w:szCs w:val="21"/>
              </w:rPr>
            </w:pPr>
            <w:r>
              <w:rPr>
                <w:rFonts w:hint="eastAsia" w:ascii="仿宋" w:hAnsi="仿宋" w:eastAsia="仿宋" w:cs="仿宋"/>
                <w:color w:val="000000"/>
                <w:szCs w:val="21"/>
              </w:rPr>
              <w:t>与贵州省黔西南州普安县中等职业学校联合制定年度东西部教育协作方案，组织相关部门认真实施。帮扶贵州学生开展专业学习，</w:t>
            </w:r>
            <w:r>
              <w:rPr>
                <w:rFonts w:hint="eastAsia" w:ascii="仿宋" w:hAnsi="仿宋" w:eastAsia="仿宋" w:cs="仿宋"/>
                <w:bCs/>
                <w:color w:val="000000"/>
                <w:szCs w:val="21"/>
              </w:rPr>
              <w:t>提升贵州教师教学能力。</w:t>
            </w:r>
          </w:p>
        </w:tc>
        <w:tc>
          <w:tcPr>
            <w:tcW w:w="1591" w:type="dxa"/>
            <w:vAlign w:val="center"/>
          </w:tcPr>
          <w:p>
            <w:pPr>
              <w:spacing w:line="260" w:lineRule="exact"/>
              <w:jc w:val="center"/>
              <w:rPr>
                <w:rFonts w:ascii="仿宋" w:hAnsi="仿宋" w:eastAsia="仿宋" w:cs="仿宋"/>
                <w:color w:val="000000"/>
                <w:szCs w:val="21"/>
              </w:rPr>
            </w:pPr>
            <w:r>
              <w:rPr>
                <w:rFonts w:hint="eastAsia" w:ascii="仿宋" w:hAnsi="仿宋" w:eastAsia="仿宋" w:cs="仿宋"/>
                <w:color w:val="000000"/>
                <w:szCs w:val="21"/>
              </w:rPr>
              <w:t>教务处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1248" w:type="dxa"/>
            <w:vMerge w:val="continue"/>
            <w:vAlign w:val="center"/>
          </w:tcPr>
          <w:p>
            <w:pPr>
              <w:spacing w:line="260" w:lineRule="exact"/>
              <w:jc w:val="center"/>
              <w:rPr>
                <w:rFonts w:asciiTheme="minorEastAsia" w:hAnsiTheme="minorEastAsia" w:cstheme="minorEastAsia"/>
                <w:b/>
                <w:bCs/>
                <w:color w:val="000000"/>
                <w:szCs w:val="21"/>
              </w:rPr>
            </w:pPr>
          </w:p>
        </w:tc>
        <w:tc>
          <w:tcPr>
            <w:tcW w:w="1764" w:type="dxa"/>
            <w:vAlign w:val="center"/>
          </w:tcPr>
          <w:p>
            <w:pPr>
              <w:spacing w:line="260" w:lineRule="exact"/>
              <w:jc w:val="left"/>
              <w:rPr>
                <w:rFonts w:ascii="仿宋" w:hAnsi="仿宋" w:eastAsia="仿宋" w:cs="仿宋"/>
                <w:bCs/>
                <w:color w:val="000000"/>
                <w:szCs w:val="21"/>
              </w:rPr>
            </w:pPr>
            <w:r>
              <w:rPr>
                <w:rFonts w:hint="eastAsia" w:ascii="仿宋" w:hAnsi="仿宋" w:eastAsia="仿宋" w:cs="仿宋"/>
                <w:bCs/>
                <w:color w:val="000000"/>
                <w:szCs w:val="21"/>
              </w:rPr>
              <w:t>韶关市南雄市教育局结对帮扶</w:t>
            </w:r>
          </w:p>
        </w:tc>
        <w:tc>
          <w:tcPr>
            <w:tcW w:w="3828" w:type="dxa"/>
            <w:vAlign w:val="center"/>
          </w:tcPr>
          <w:p>
            <w:pPr>
              <w:spacing w:line="260" w:lineRule="exact"/>
              <w:jc w:val="left"/>
              <w:rPr>
                <w:rFonts w:ascii="仿宋" w:hAnsi="仿宋" w:eastAsia="仿宋" w:cs="仿宋"/>
                <w:color w:val="000000"/>
                <w:szCs w:val="21"/>
              </w:rPr>
            </w:pPr>
            <w:r>
              <w:rPr>
                <w:rFonts w:hint="eastAsia" w:ascii="仿宋" w:hAnsi="仿宋" w:eastAsia="仿宋" w:cs="仿宋"/>
                <w:color w:val="000000"/>
                <w:szCs w:val="21"/>
              </w:rPr>
              <w:t>分析韶关37所职业学校（中小学）教育管理的弱项和短板，确定帮扶对象（项目），分步分批进行帮扶，激发帮扶积极性和竞争力，形成学校间比赶超的态势，最大化突显帮扶效果。</w:t>
            </w:r>
          </w:p>
        </w:tc>
        <w:tc>
          <w:tcPr>
            <w:tcW w:w="1591" w:type="dxa"/>
            <w:vAlign w:val="center"/>
          </w:tcPr>
          <w:p>
            <w:pPr>
              <w:spacing w:line="260" w:lineRule="exact"/>
              <w:jc w:val="center"/>
              <w:rPr>
                <w:rFonts w:ascii="仿宋" w:hAnsi="仿宋" w:eastAsia="仿宋" w:cs="仿宋"/>
                <w:color w:val="000000"/>
                <w:szCs w:val="21"/>
              </w:rPr>
            </w:pPr>
            <w:r>
              <w:rPr>
                <w:rFonts w:hint="eastAsia" w:ascii="仿宋" w:hAnsi="仿宋" w:eastAsia="仿宋" w:cs="仿宋"/>
                <w:color w:val="000000"/>
                <w:szCs w:val="21"/>
              </w:rPr>
              <w:t>人事处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1248" w:type="dxa"/>
            <w:vMerge w:val="restart"/>
            <w:vAlign w:val="center"/>
          </w:tcPr>
          <w:p>
            <w:pPr>
              <w:spacing w:line="260" w:lineRule="exact"/>
              <w:jc w:val="center"/>
              <w:rPr>
                <w:rFonts w:asciiTheme="minorEastAsia" w:hAnsiTheme="minorEastAsia" w:cstheme="minorEastAsia"/>
                <w:b/>
                <w:bCs/>
                <w:color w:val="000000"/>
                <w:szCs w:val="21"/>
              </w:rPr>
            </w:pPr>
            <w:r>
              <w:rPr>
                <w:rFonts w:hint="eastAsia" w:asciiTheme="minorEastAsia" w:hAnsiTheme="minorEastAsia" w:cstheme="minorEastAsia"/>
                <w:b/>
                <w:bCs/>
                <w:color w:val="000000"/>
                <w:szCs w:val="21"/>
              </w:rPr>
              <w:t>2024</w:t>
            </w:r>
          </w:p>
        </w:tc>
        <w:tc>
          <w:tcPr>
            <w:tcW w:w="1764" w:type="dxa"/>
            <w:vAlign w:val="center"/>
          </w:tcPr>
          <w:p>
            <w:pPr>
              <w:spacing w:line="260" w:lineRule="exact"/>
              <w:jc w:val="left"/>
              <w:rPr>
                <w:rFonts w:ascii="仿宋" w:hAnsi="仿宋" w:eastAsia="仿宋" w:cs="仿宋"/>
                <w:color w:val="000000"/>
                <w:szCs w:val="21"/>
              </w:rPr>
            </w:pPr>
            <w:r>
              <w:rPr>
                <w:rFonts w:hint="eastAsia" w:ascii="仿宋" w:hAnsi="仿宋" w:eastAsia="仿宋" w:cs="仿宋"/>
                <w:color w:val="000000"/>
                <w:szCs w:val="21"/>
              </w:rPr>
              <w:t>贵州省黔西南州普安县中等职业东西部教育协作项目</w:t>
            </w:r>
          </w:p>
        </w:tc>
        <w:tc>
          <w:tcPr>
            <w:tcW w:w="3828" w:type="dxa"/>
            <w:vAlign w:val="center"/>
          </w:tcPr>
          <w:p>
            <w:pPr>
              <w:spacing w:line="260" w:lineRule="exact"/>
              <w:jc w:val="left"/>
              <w:rPr>
                <w:rFonts w:ascii="仿宋" w:hAnsi="仿宋" w:eastAsia="仿宋" w:cs="仿宋"/>
                <w:color w:val="000000"/>
                <w:szCs w:val="21"/>
              </w:rPr>
            </w:pPr>
            <w:r>
              <w:rPr>
                <w:rFonts w:hint="eastAsia" w:ascii="仿宋" w:hAnsi="仿宋" w:eastAsia="仿宋" w:cs="仿宋"/>
                <w:color w:val="000000"/>
                <w:szCs w:val="21"/>
              </w:rPr>
              <w:t>与贵州省黔西南州普安县中等职业学校联合制定年度东西部教育协作方案，组织相关部门认真实施。帮扶贵州学生开展专业学习，</w:t>
            </w:r>
            <w:r>
              <w:rPr>
                <w:rFonts w:hint="eastAsia" w:ascii="仿宋" w:hAnsi="仿宋" w:eastAsia="仿宋" w:cs="仿宋"/>
                <w:bCs/>
                <w:color w:val="000000"/>
                <w:szCs w:val="21"/>
              </w:rPr>
              <w:t>提升贵州教师教学能力。</w:t>
            </w:r>
          </w:p>
        </w:tc>
        <w:tc>
          <w:tcPr>
            <w:tcW w:w="1591" w:type="dxa"/>
            <w:vAlign w:val="center"/>
          </w:tcPr>
          <w:p>
            <w:pPr>
              <w:spacing w:line="260" w:lineRule="exact"/>
              <w:jc w:val="center"/>
              <w:rPr>
                <w:rFonts w:ascii="仿宋" w:hAnsi="仿宋" w:eastAsia="仿宋" w:cs="仿宋"/>
                <w:color w:val="000000"/>
                <w:szCs w:val="21"/>
              </w:rPr>
            </w:pPr>
            <w:r>
              <w:rPr>
                <w:rFonts w:hint="eastAsia" w:ascii="仿宋" w:hAnsi="仿宋" w:eastAsia="仿宋" w:cs="仿宋"/>
                <w:color w:val="000000"/>
                <w:szCs w:val="21"/>
              </w:rPr>
              <w:t>教务处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1248" w:type="dxa"/>
            <w:vMerge w:val="continue"/>
            <w:vAlign w:val="center"/>
          </w:tcPr>
          <w:p>
            <w:pPr>
              <w:spacing w:line="260" w:lineRule="exact"/>
              <w:jc w:val="center"/>
              <w:rPr>
                <w:rFonts w:asciiTheme="minorEastAsia" w:hAnsiTheme="minorEastAsia" w:cstheme="minorEastAsia"/>
                <w:b/>
                <w:bCs/>
                <w:color w:val="000000"/>
                <w:szCs w:val="21"/>
              </w:rPr>
            </w:pPr>
          </w:p>
        </w:tc>
        <w:tc>
          <w:tcPr>
            <w:tcW w:w="1764" w:type="dxa"/>
            <w:vAlign w:val="center"/>
          </w:tcPr>
          <w:p>
            <w:pPr>
              <w:spacing w:line="260" w:lineRule="exact"/>
              <w:jc w:val="left"/>
              <w:rPr>
                <w:rFonts w:ascii="仿宋" w:hAnsi="仿宋" w:eastAsia="仿宋" w:cs="仿宋"/>
                <w:bCs/>
                <w:color w:val="000000"/>
                <w:szCs w:val="21"/>
              </w:rPr>
            </w:pPr>
            <w:r>
              <w:rPr>
                <w:rFonts w:hint="eastAsia" w:ascii="仿宋" w:hAnsi="仿宋" w:eastAsia="仿宋" w:cs="仿宋"/>
                <w:bCs/>
                <w:color w:val="000000"/>
                <w:szCs w:val="21"/>
              </w:rPr>
              <w:t>韶关市南雄市教育局结对帮扶</w:t>
            </w:r>
          </w:p>
        </w:tc>
        <w:tc>
          <w:tcPr>
            <w:tcW w:w="3828" w:type="dxa"/>
            <w:vAlign w:val="center"/>
          </w:tcPr>
          <w:p>
            <w:pPr>
              <w:spacing w:line="260" w:lineRule="exact"/>
              <w:jc w:val="left"/>
              <w:rPr>
                <w:rFonts w:ascii="仿宋" w:hAnsi="仿宋" w:eastAsia="仿宋" w:cs="仿宋"/>
                <w:color w:val="000000"/>
                <w:szCs w:val="21"/>
              </w:rPr>
            </w:pPr>
            <w:r>
              <w:rPr>
                <w:rFonts w:hint="eastAsia" w:ascii="仿宋" w:hAnsi="仿宋" w:eastAsia="仿宋" w:cs="仿宋"/>
                <w:bCs/>
                <w:color w:val="000000"/>
                <w:szCs w:val="21"/>
              </w:rPr>
              <w:t>通过抓好专业与课程建设、技能竞赛、实训基地建设、教学研究、信息技术培训、社会化服务等途径，促进教育教学资源得到丰富、学校管理得以均衡、健康发展的预期效果。</w:t>
            </w:r>
          </w:p>
        </w:tc>
        <w:tc>
          <w:tcPr>
            <w:tcW w:w="1591" w:type="dxa"/>
            <w:vAlign w:val="center"/>
          </w:tcPr>
          <w:p>
            <w:pPr>
              <w:spacing w:line="260" w:lineRule="exact"/>
              <w:jc w:val="center"/>
              <w:rPr>
                <w:rFonts w:ascii="仿宋" w:hAnsi="仿宋" w:eastAsia="仿宋" w:cs="仿宋"/>
                <w:color w:val="000000"/>
                <w:szCs w:val="21"/>
              </w:rPr>
            </w:pPr>
            <w:r>
              <w:rPr>
                <w:rFonts w:hint="eastAsia" w:ascii="仿宋" w:hAnsi="仿宋" w:eastAsia="仿宋" w:cs="仿宋"/>
                <w:color w:val="000000"/>
                <w:szCs w:val="21"/>
              </w:rPr>
              <w:t>人事处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1248" w:type="dxa"/>
            <w:vMerge w:val="restart"/>
            <w:vAlign w:val="center"/>
          </w:tcPr>
          <w:p>
            <w:pPr>
              <w:spacing w:line="260" w:lineRule="exact"/>
              <w:jc w:val="center"/>
              <w:rPr>
                <w:rFonts w:asciiTheme="minorEastAsia" w:hAnsiTheme="minorEastAsia" w:cstheme="minorEastAsia"/>
                <w:b/>
                <w:bCs/>
                <w:color w:val="000000"/>
                <w:szCs w:val="21"/>
              </w:rPr>
            </w:pPr>
            <w:r>
              <w:rPr>
                <w:rFonts w:hint="eastAsia" w:asciiTheme="minorEastAsia" w:hAnsiTheme="minorEastAsia" w:cstheme="minorEastAsia"/>
                <w:b/>
                <w:bCs/>
                <w:color w:val="000000"/>
                <w:szCs w:val="21"/>
              </w:rPr>
              <w:t>2025</w:t>
            </w:r>
          </w:p>
        </w:tc>
        <w:tc>
          <w:tcPr>
            <w:tcW w:w="1764" w:type="dxa"/>
            <w:vAlign w:val="center"/>
          </w:tcPr>
          <w:p>
            <w:pPr>
              <w:spacing w:line="260" w:lineRule="exact"/>
              <w:jc w:val="left"/>
              <w:rPr>
                <w:rFonts w:ascii="仿宋" w:hAnsi="仿宋" w:eastAsia="仿宋" w:cs="仿宋"/>
                <w:color w:val="000000"/>
                <w:szCs w:val="21"/>
              </w:rPr>
            </w:pPr>
            <w:r>
              <w:rPr>
                <w:rFonts w:hint="eastAsia" w:ascii="仿宋" w:hAnsi="仿宋" w:eastAsia="仿宋" w:cs="仿宋"/>
                <w:color w:val="000000"/>
                <w:szCs w:val="21"/>
              </w:rPr>
              <w:t>贵州省黔西南州普安县中等职业东西部教育协作项目</w:t>
            </w:r>
          </w:p>
        </w:tc>
        <w:tc>
          <w:tcPr>
            <w:tcW w:w="3828" w:type="dxa"/>
            <w:vAlign w:val="center"/>
          </w:tcPr>
          <w:p>
            <w:pPr>
              <w:spacing w:line="260" w:lineRule="exact"/>
              <w:jc w:val="left"/>
              <w:rPr>
                <w:rFonts w:ascii="仿宋" w:hAnsi="仿宋" w:eastAsia="仿宋" w:cs="仿宋"/>
                <w:color w:val="000000"/>
                <w:szCs w:val="21"/>
              </w:rPr>
            </w:pPr>
            <w:r>
              <w:rPr>
                <w:rFonts w:hint="eastAsia" w:ascii="仿宋" w:hAnsi="仿宋" w:eastAsia="仿宋" w:cs="仿宋"/>
                <w:color w:val="000000"/>
                <w:szCs w:val="21"/>
              </w:rPr>
              <w:t>与贵州省黔西南州普安县中等职业学校联合制定年度东西部教育协作方案，组织相关部门认真实施。帮扶贵州学生开展专业学习，</w:t>
            </w:r>
            <w:r>
              <w:rPr>
                <w:rFonts w:hint="eastAsia" w:ascii="仿宋" w:hAnsi="仿宋" w:eastAsia="仿宋" w:cs="仿宋"/>
                <w:bCs/>
                <w:color w:val="000000"/>
                <w:szCs w:val="21"/>
              </w:rPr>
              <w:t>提升贵州教师教学能力。</w:t>
            </w:r>
          </w:p>
        </w:tc>
        <w:tc>
          <w:tcPr>
            <w:tcW w:w="1591" w:type="dxa"/>
            <w:vAlign w:val="center"/>
          </w:tcPr>
          <w:p>
            <w:pPr>
              <w:spacing w:line="260" w:lineRule="exact"/>
              <w:jc w:val="center"/>
              <w:rPr>
                <w:rFonts w:ascii="仿宋" w:hAnsi="仿宋" w:eastAsia="仿宋" w:cs="仿宋"/>
                <w:color w:val="000000"/>
                <w:szCs w:val="21"/>
              </w:rPr>
            </w:pPr>
            <w:r>
              <w:rPr>
                <w:rFonts w:hint="eastAsia" w:ascii="仿宋" w:hAnsi="仿宋" w:eastAsia="仿宋" w:cs="仿宋"/>
                <w:color w:val="000000"/>
                <w:szCs w:val="21"/>
              </w:rPr>
              <w:t>教务处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1248" w:type="dxa"/>
            <w:vMerge w:val="continue"/>
          </w:tcPr>
          <w:p>
            <w:pPr>
              <w:spacing w:line="260" w:lineRule="exact"/>
              <w:rPr>
                <w:rFonts w:ascii="Times New Roman" w:hAnsi="Times New Roman" w:eastAsia="宋体" w:cs="Times New Roman"/>
                <w:color w:val="000000"/>
                <w:szCs w:val="21"/>
              </w:rPr>
            </w:pPr>
          </w:p>
        </w:tc>
        <w:tc>
          <w:tcPr>
            <w:tcW w:w="1764" w:type="dxa"/>
            <w:vAlign w:val="center"/>
          </w:tcPr>
          <w:p>
            <w:pPr>
              <w:spacing w:line="260" w:lineRule="exact"/>
              <w:jc w:val="left"/>
              <w:rPr>
                <w:rFonts w:ascii="仿宋" w:hAnsi="仿宋" w:eastAsia="仿宋" w:cs="仿宋"/>
                <w:bCs/>
                <w:color w:val="000000"/>
                <w:szCs w:val="21"/>
              </w:rPr>
            </w:pPr>
            <w:r>
              <w:rPr>
                <w:rFonts w:hint="eastAsia" w:ascii="仿宋" w:hAnsi="仿宋" w:eastAsia="仿宋" w:cs="仿宋"/>
                <w:bCs/>
                <w:color w:val="000000"/>
                <w:szCs w:val="21"/>
              </w:rPr>
              <w:t>韶关市南雄市教育局结对帮扶</w:t>
            </w:r>
          </w:p>
        </w:tc>
        <w:tc>
          <w:tcPr>
            <w:tcW w:w="3828" w:type="dxa"/>
            <w:vAlign w:val="center"/>
          </w:tcPr>
          <w:p>
            <w:pPr>
              <w:spacing w:line="260" w:lineRule="exact"/>
              <w:jc w:val="left"/>
              <w:rPr>
                <w:rFonts w:ascii="仿宋" w:hAnsi="仿宋" w:eastAsia="仿宋" w:cs="仿宋"/>
                <w:color w:val="000000"/>
                <w:szCs w:val="21"/>
              </w:rPr>
            </w:pPr>
            <w:r>
              <w:rPr>
                <w:rFonts w:hint="eastAsia" w:ascii="仿宋" w:hAnsi="仿宋" w:eastAsia="仿宋" w:cs="仿宋"/>
                <w:bCs/>
                <w:color w:val="000000"/>
                <w:szCs w:val="21"/>
              </w:rPr>
              <w:t>加强分类指导，鼓励内涵发展，因地因校制宜，协同打造精品专业、精品课程建设项目和地方特色的典型案例，协助修改完善学校中长期发展规划、专业建设规划、师资队伍建设规划并落实具体建设任务。</w:t>
            </w:r>
          </w:p>
        </w:tc>
        <w:tc>
          <w:tcPr>
            <w:tcW w:w="1591" w:type="dxa"/>
            <w:vAlign w:val="center"/>
          </w:tcPr>
          <w:p>
            <w:pPr>
              <w:spacing w:line="260" w:lineRule="exact"/>
              <w:jc w:val="center"/>
              <w:rPr>
                <w:rFonts w:ascii="仿宋" w:hAnsi="仿宋" w:eastAsia="仿宋" w:cs="仿宋"/>
                <w:color w:val="000000"/>
                <w:szCs w:val="21"/>
              </w:rPr>
            </w:pPr>
            <w:r>
              <w:rPr>
                <w:rFonts w:hint="eastAsia" w:ascii="仿宋" w:hAnsi="仿宋" w:eastAsia="仿宋" w:cs="仿宋"/>
                <w:color w:val="000000"/>
                <w:szCs w:val="21"/>
              </w:rPr>
              <w:t>人事处</w:t>
            </w:r>
          </w:p>
        </w:tc>
      </w:tr>
    </w:tbl>
    <w:p>
      <w:pPr>
        <w:keepNext/>
        <w:keepLines/>
        <w:spacing w:line="540" w:lineRule="exact"/>
        <w:ind w:firstLine="562" w:firstLineChars="200"/>
        <w:outlineLvl w:val="3"/>
        <w:rPr>
          <w:rFonts w:ascii="Times New Roman" w:hAnsi="Times New Roman" w:eastAsia="仿宋"/>
          <w:b/>
          <w:sz w:val="28"/>
          <w:szCs w:val="28"/>
        </w:rPr>
      </w:pPr>
      <w:r>
        <w:rPr>
          <w:rFonts w:hint="eastAsia" w:ascii="Times New Roman" w:hAnsi="Times New Roman" w:eastAsia="仿宋"/>
          <w:b/>
          <w:sz w:val="28"/>
          <w:szCs w:val="28"/>
        </w:rPr>
        <w:t>（6）预期成效及资金测算</w:t>
      </w:r>
    </w:p>
    <w:tbl>
      <w:tblPr>
        <w:tblStyle w:val="16"/>
        <w:tblW w:w="0" w:type="auto"/>
        <w:jc w:val="center"/>
        <w:tblLayout w:type="autofit"/>
        <w:tblCellMar>
          <w:top w:w="15" w:type="dxa"/>
          <w:left w:w="15" w:type="dxa"/>
          <w:bottom w:w="15" w:type="dxa"/>
          <w:right w:w="15" w:type="dxa"/>
        </w:tblCellMar>
      </w:tblPr>
      <w:tblGrid>
        <w:gridCol w:w="662"/>
        <w:gridCol w:w="2355"/>
        <w:gridCol w:w="3825"/>
        <w:gridCol w:w="498"/>
        <w:gridCol w:w="498"/>
        <w:gridCol w:w="498"/>
      </w:tblGrid>
      <w:tr>
        <w:tblPrEx>
          <w:tblCellMar>
            <w:top w:w="15" w:type="dxa"/>
            <w:left w:w="15" w:type="dxa"/>
            <w:bottom w:w="15" w:type="dxa"/>
            <w:right w:w="15" w:type="dxa"/>
          </w:tblCellMar>
        </w:tblPrEx>
        <w:trPr>
          <w:trHeight w:val="301"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项目名称</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主要建设内容</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预期建设成效</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建设资金安排表（万元）</w:t>
            </w:r>
          </w:p>
        </w:tc>
      </w:tr>
      <w:tr>
        <w:tblPrEx>
          <w:tblCellMar>
            <w:top w:w="15" w:type="dxa"/>
            <w:left w:w="15" w:type="dxa"/>
            <w:bottom w:w="15" w:type="dxa"/>
            <w:right w:w="15" w:type="dxa"/>
          </w:tblCellMar>
        </w:tblPrEx>
        <w:trPr>
          <w:trHeight w:val="286"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jc w:val="center"/>
              <w:rPr>
                <w:rFonts w:ascii="仿宋" w:hAnsi="仿宋" w:eastAsia="仿宋" w:cs="仿宋"/>
                <w:b/>
                <w:bCs/>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rPr>
                <w:rFonts w:ascii="仿宋" w:hAnsi="仿宋" w:eastAsia="仿宋" w:cs="仿宋"/>
                <w:b/>
                <w:bCs/>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rPr>
                <w:rFonts w:ascii="仿宋" w:hAnsi="仿宋" w:eastAsia="仿宋" w:cs="仿宋"/>
                <w:b/>
                <w:bCs/>
                <w:color w:val="000000"/>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kern w:val="0"/>
                <w:szCs w:val="21"/>
                <w:lang w:bidi="ar"/>
              </w:rPr>
            </w:pPr>
            <w:r>
              <w:rPr>
                <w:rFonts w:hint="eastAsia" w:ascii="仿宋" w:hAnsi="仿宋" w:eastAsia="仿宋" w:cs="仿宋"/>
                <w:b/>
                <w:bCs/>
                <w:color w:val="000000"/>
                <w:kern w:val="0"/>
                <w:szCs w:val="21"/>
                <w:lang w:bidi="ar"/>
              </w:rPr>
              <w:t>2023年</w:t>
            </w:r>
          </w:p>
        </w:tc>
        <w:tc>
          <w:tcPr>
            <w:tcW w:w="0" w:type="auto"/>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2024年</w:t>
            </w:r>
          </w:p>
        </w:tc>
        <w:tc>
          <w:tcPr>
            <w:tcW w:w="0" w:type="auto"/>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2025年</w:t>
            </w:r>
          </w:p>
        </w:tc>
      </w:tr>
      <w:tr>
        <w:tblPrEx>
          <w:tblCellMar>
            <w:top w:w="15" w:type="dxa"/>
            <w:left w:w="15" w:type="dxa"/>
            <w:bottom w:w="15" w:type="dxa"/>
            <w:right w:w="15" w:type="dxa"/>
          </w:tblCellMar>
        </w:tblPrEx>
        <w:trPr>
          <w:trHeight w:val="450"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Cs w:val="21"/>
              </w:rPr>
            </w:pPr>
            <w:r>
              <w:rPr>
                <w:rFonts w:hint="eastAsia" w:ascii="仿宋" w:hAnsi="仿宋" w:eastAsia="仿宋" w:cs="仿宋"/>
                <w:b/>
                <w:bCs/>
                <w:color w:val="000000"/>
                <w:szCs w:val="21"/>
              </w:rPr>
              <w:t>东西部教育协作与省内结对帮扶项目</w:t>
            </w:r>
          </w:p>
        </w:tc>
        <w:tc>
          <w:tcPr>
            <w:tcW w:w="0" w:type="auto"/>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仿宋"/>
                <w:color w:val="000000"/>
                <w:szCs w:val="21"/>
              </w:rPr>
            </w:pPr>
            <w:r>
              <w:rPr>
                <w:rFonts w:hint="eastAsia" w:ascii="仿宋" w:hAnsi="仿宋" w:eastAsia="仿宋" w:cs="仿宋"/>
                <w:color w:val="000000"/>
                <w:szCs w:val="21"/>
              </w:rPr>
              <w:t>帮扶贵州学生开展专业学习，</w:t>
            </w:r>
            <w:r>
              <w:rPr>
                <w:rFonts w:hint="eastAsia" w:ascii="仿宋" w:hAnsi="仿宋" w:eastAsia="仿宋" w:cs="仿宋"/>
                <w:bCs/>
                <w:color w:val="000000"/>
                <w:szCs w:val="21"/>
              </w:rPr>
              <w:t>提升贵州教师教学能力，对韶关基础（职业）教育精准帮扶，结合三方特色打造结对帮扶典型，以点带面辐射韶关区域教育发展。</w:t>
            </w:r>
          </w:p>
        </w:tc>
        <w:tc>
          <w:tcPr>
            <w:tcW w:w="0" w:type="auto"/>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仿宋"/>
                <w:bCs/>
                <w:color w:val="000000"/>
                <w:szCs w:val="21"/>
              </w:rPr>
            </w:pPr>
            <w:r>
              <w:rPr>
                <w:rFonts w:hint="eastAsia" w:ascii="仿宋" w:hAnsi="仿宋" w:eastAsia="仿宋" w:cs="仿宋"/>
                <w:bCs/>
                <w:color w:val="000000"/>
                <w:szCs w:val="21"/>
              </w:rPr>
              <w:t>通过与普安县中等职业学校教育协作，缩小东西部地区的教育差距，加强“贵州•惠州”职业教育帮扶合作，共同更新教育理念，创新教育改革，加强师资建设，提高教育教学水平，共享课程资源，推动贵州职业教育的进步。</w:t>
            </w:r>
          </w:p>
          <w:p>
            <w:pPr>
              <w:rPr>
                <w:rFonts w:ascii="仿宋" w:hAnsi="仿宋" w:eastAsia="仿宋" w:cs="仿宋"/>
                <w:b/>
                <w:bCs/>
                <w:color w:val="000000"/>
                <w:szCs w:val="21"/>
              </w:rPr>
            </w:pPr>
            <w:r>
              <w:rPr>
                <w:rFonts w:hint="eastAsia" w:ascii="仿宋" w:hAnsi="仿宋" w:eastAsia="仿宋" w:cs="仿宋"/>
                <w:color w:val="000000"/>
                <w:szCs w:val="21"/>
              </w:rPr>
              <w:t>精准帮扶南雄市职业学校（中小学），按照新时代国家大政方针和教育部政策要求，分步分批帮扶，构建合理健康、特色鲜明的学校教育体系和模式，为南雄市职业学校（中小学）均衡发展提供优质教育资源，引导高校师生强化服务社会意识，提升服务社会能力。</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Cs w:val="21"/>
              </w:rPr>
            </w:pPr>
            <w:r>
              <w:rPr>
                <w:rFonts w:hint="eastAsia" w:ascii="仿宋" w:hAnsi="仿宋" w:eastAsia="仿宋" w:cs="仿宋"/>
                <w:color w:val="000000"/>
                <w:szCs w:val="21"/>
              </w:rPr>
              <w:t>100</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Cs w:val="21"/>
              </w:rPr>
            </w:pPr>
            <w:r>
              <w:rPr>
                <w:rFonts w:hint="eastAsia" w:ascii="仿宋" w:hAnsi="仿宋" w:eastAsia="仿宋" w:cs="仿宋"/>
                <w:color w:val="000000"/>
                <w:szCs w:val="21"/>
              </w:rPr>
              <w:t>100</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Cs w:val="21"/>
              </w:rPr>
            </w:pPr>
            <w:r>
              <w:rPr>
                <w:rFonts w:hint="eastAsia" w:ascii="仿宋" w:hAnsi="仿宋" w:eastAsia="仿宋" w:cs="仿宋"/>
                <w:color w:val="000000"/>
                <w:szCs w:val="21"/>
              </w:rPr>
              <w:t>100</w:t>
            </w:r>
          </w:p>
        </w:tc>
      </w:tr>
    </w:tbl>
    <w:p>
      <w:pPr>
        <w:keepNext/>
        <w:keepLines/>
        <w:spacing w:line="540" w:lineRule="exact"/>
        <w:ind w:firstLine="562" w:firstLineChars="200"/>
        <w:outlineLvl w:val="3"/>
        <w:rPr>
          <w:rFonts w:ascii="Times New Roman" w:hAnsi="Times New Roman" w:eastAsia="仿宋"/>
          <w:b/>
          <w:sz w:val="28"/>
          <w:szCs w:val="28"/>
        </w:rPr>
      </w:pPr>
    </w:p>
    <w:p>
      <w:pPr>
        <w:keepNext/>
        <w:keepLines/>
        <w:spacing w:line="540" w:lineRule="exact"/>
        <w:ind w:firstLine="643" w:firstLineChars="200"/>
        <w:outlineLvl w:val="2"/>
        <w:rPr>
          <w:rFonts w:ascii="Times New Roman" w:hAnsi="Times New Roman" w:eastAsia="仿宋" w:cs="Times New Roman"/>
          <w:b/>
          <w:sz w:val="32"/>
        </w:rPr>
      </w:pPr>
      <w:bookmarkStart w:id="72" w:name="_Toc164347855"/>
      <w:r>
        <w:rPr>
          <w:rFonts w:hint="eastAsia" w:ascii="Times New Roman" w:hAnsi="Times New Roman" w:eastAsia="仿宋" w:cs="Times New Roman"/>
          <w:b/>
          <w:sz w:val="32"/>
        </w:rPr>
        <w:t>4.</w:t>
      </w:r>
      <w:r>
        <w:fldChar w:fldCharType="begin"/>
      </w:r>
      <w:r>
        <w:instrText xml:space="preserve"> HYPERLINK \l "_Toc22386" </w:instrText>
      </w:r>
      <w:r>
        <w:fldChar w:fldCharType="separate"/>
      </w:r>
      <w:r>
        <w:rPr>
          <w:rFonts w:hint="eastAsia" w:ascii="Times New Roman" w:hAnsi="Times New Roman" w:eastAsia="仿宋" w:cs="Times New Roman"/>
          <w:b/>
          <w:sz w:val="32"/>
        </w:rPr>
        <w:t>服务区域发展战略项目</w:t>
      </w:r>
      <w:bookmarkEnd w:id="72"/>
      <w:r>
        <w:rPr>
          <w:rFonts w:hint="eastAsia" w:ascii="Times New Roman" w:hAnsi="Times New Roman" w:eastAsia="仿宋" w:cs="Times New Roman"/>
          <w:b/>
          <w:sz w:val="32"/>
        </w:rPr>
        <w:fldChar w:fldCharType="end"/>
      </w:r>
    </w:p>
    <w:p>
      <w:pPr>
        <w:keepNext/>
        <w:keepLines/>
        <w:spacing w:line="540" w:lineRule="exact"/>
        <w:ind w:firstLine="562" w:firstLineChars="200"/>
        <w:outlineLvl w:val="3"/>
        <w:rPr>
          <w:rFonts w:ascii="Times New Roman" w:hAnsi="Times New Roman" w:eastAsia="仿宋"/>
          <w:b/>
          <w:sz w:val="28"/>
          <w:szCs w:val="28"/>
        </w:rPr>
      </w:pPr>
      <w:r>
        <w:rPr>
          <w:rFonts w:hint="eastAsia" w:ascii="Times New Roman" w:hAnsi="Times New Roman" w:eastAsia="仿宋"/>
          <w:b/>
          <w:sz w:val="28"/>
          <w:szCs w:val="28"/>
        </w:rPr>
        <w:t>（1）必要性和可行性</w:t>
      </w:r>
    </w:p>
    <w:p>
      <w:pPr>
        <w:spacing w:line="54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社会服务是高职院校的基本职能之一。高职院校充分</w:t>
      </w:r>
      <w:r>
        <w:rPr>
          <w:rFonts w:ascii="仿宋" w:hAnsi="仿宋" w:eastAsia="仿宋" w:cs="仿宋"/>
          <w:color w:val="000000"/>
          <w:sz w:val="28"/>
          <w:szCs w:val="28"/>
        </w:rPr>
        <w:t>发挥产教融合、校企合作的天然优势，按照立足地方、面向地方、融入地方、服务地方的办学思路，加快推动产、教、科、城的深度融合，与所在城市发展融为一体、共生共荣，着力提升学校在区域经济社会发展中的参与度和贡献力，也是增强学校办学适应性的必然要求</w:t>
      </w:r>
      <w:r>
        <w:rPr>
          <w:rFonts w:hint="eastAsia" w:ascii="仿宋" w:hAnsi="仿宋" w:eastAsia="仿宋" w:cs="仿宋"/>
          <w:color w:val="000000"/>
          <w:sz w:val="28"/>
          <w:szCs w:val="28"/>
        </w:rPr>
        <w:t>。</w:t>
      </w:r>
    </w:p>
    <w:p>
      <w:pPr>
        <w:spacing w:line="54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近年来，广东省提出“百县千镇万村高质量发展工程”和制造业当家发展战略，广东省教育厅实施百校联百县助力“百县千镇万村高质量发展工程”行动。学校专业开设涵盖工、农、商，建有多支成熟科研创新团队和科技特派员团队，具备为地方高质量发展提供人才、智力、科技和文化支撑的能力。</w:t>
      </w:r>
    </w:p>
    <w:p>
      <w:pPr>
        <w:keepNext/>
        <w:keepLines/>
        <w:spacing w:line="540" w:lineRule="exact"/>
        <w:ind w:firstLine="562" w:firstLineChars="200"/>
        <w:outlineLvl w:val="3"/>
        <w:rPr>
          <w:rFonts w:ascii="Times New Roman" w:hAnsi="Times New Roman" w:eastAsia="仿宋"/>
          <w:b/>
          <w:sz w:val="28"/>
          <w:szCs w:val="28"/>
        </w:rPr>
      </w:pPr>
      <w:r>
        <w:rPr>
          <w:rFonts w:hint="eastAsia" w:ascii="Times New Roman" w:hAnsi="Times New Roman" w:eastAsia="仿宋"/>
          <w:b/>
          <w:sz w:val="28"/>
          <w:szCs w:val="28"/>
        </w:rPr>
        <w:t>（2）拟解决的关键问题</w:t>
      </w:r>
    </w:p>
    <w:p>
      <w:pPr>
        <w:spacing w:line="540" w:lineRule="exact"/>
        <w:ind w:firstLine="560" w:firstLineChars="200"/>
        <w:jc w:val="left"/>
        <w:rPr>
          <w:rFonts w:ascii="仿宋" w:hAnsi="仿宋" w:eastAsia="仿宋" w:cs="仿宋"/>
          <w:color w:val="000000"/>
          <w:sz w:val="28"/>
          <w:szCs w:val="28"/>
        </w:rPr>
      </w:pPr>
      <w:r>
        <w:rPr>
          <w:rFonts w:hint="eastAsia" w:ascii="仿宋" w:hAnsi="仿宋" w:eastAsia="仿宋" w:cs="仿宋"/>
          <w:color w:val="000000"/>
          <w:sz w:val="28"/>
          <w:szCs w:val="28"/>
        </w:rPr>
        <w:t>整合资源，积极发挥学校科技特派员在广东省乡村振兴和“百县千镇万村高质量发展工程”中的作用，高质量实施好《韶关学院  惠州工程职业学院  南雄市关于开展百校联百县助力“百县千镇万村高质量发展工程”行动组团实施方案》，服务南雄高质量发展，高质量完成百校联百县助力“百县千镇万村高质量发展工程”任务，提升学校办学适应性。</w:t>
      </w:r>
    </w:p>
    <w:p>
      <w:pPr>
        <w:keepNext/>
        <w:keepLines/>
        <w:spacing w:line="540" w:lineRule="exact"/>
        <w:ind w:firstLine="562" w:firstLineChars="200"/>
        <w:outlineLvl w:val="3"/>
        <w:rPr>
          <w:rFonts w:ascii="Times New Roman" w:hAnsi="Times New Roman" w:eastAsia="仿宋"/>
          <w:b/>
          <w:sz w:val="28"/>
          <w:szCs w:val="28"/>
        </w:rPr>
      </w:pPr>
      <w:r>
        <w:rPr>
          <w:rFonts w:hint="eastAsia" w:ascii="Times New Roman" w:hAnsi="Times New Roman" w:eastAsia="仿宋"/>
          <w:b/>
          <w:sz w:val="28"/>
          <w:szCs w:val="28"/>
        </w:rPr>
        <w:t>（3）建设目标</w:t>
      </w:r>
    </w:p>
    <w:p>
      <w:pPr>
        <w:spacing w:line="54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坚持以习近平新时代中国特色社会主义思想为指导，全面贯彻落实党的二十大精神，深入贯彻习近平总书记对广东系列重要讲话和重要指示精神，认真落实省委“1310”具体部署，聚焦高质量发展这一首要任务，以城乡融合、区域协调发展取得新突破为目标，立足服务对象实际，充分发挥学校教育和科技资源优势，强化产业、科技、资金、人才等要素导入，在强化重大项目带动、培育壮大县域优势产业、提升基础设施建设、提升公共服务水平、促进城乡建设提升、强化帮扶合力和“百千万工程”典型县、镇、村打造等方面，促成更多合作项目落地实施，壮大县域综合实力，全面推进乡村振兴，提升民生保障水平，共同为广东高质量发展作出新的更大贡献。</w:t>
      </w:r>
    </w:p>
    <w:p>
      <w:pPr>
        <w:keepNext/>
        <w:keepLines/>
        <w:spacing w:line="540" w:lineRule="exact"/>
        <w:ind w:firstLine="562" w:firstLineChars="200"/>
        <w:outlineLvl w:val="3"/>
        <w:rPr>
          <w:rFonts w:ascii="Times New Roman" w:hAnsi="Times New Roman" w:eastAsia="仿宋"/>
          <w:b/>
          <w:sz w:val="28"/>
          <w:szCs w:val="28"/>
        </w:rPr>
      </w:pPr>
      <w:r>
        <w:rPr>
          <w:rFonts w:hint="eastAsia" w:ascii="Times New Roman" w:hAnsi="Times New Roman" w:eastAsia="仿宋"/>
          <w:b/>
          <w:sz w:val="28"/>
          <w:szCs w:val="28"/>
        </w:rPr>
        <w:t>（4）重点建设任务</w:t>
      </w:r>
    </w:p>
    <w:p>
      <w:pPr>
        <w:spacing w:line="540" w:lineRule="exact"/>
        <w:ind w:firstLine="560" w:firstLineChars="200"/>
        <w:jc w:val="left"/>
        <w:rPr>
          <w:rFonts w:ascii="仿宋" w:hAnsi="仿宋" w:eastAsia="仿宋" w:cs="仿宋"/>
          <w:color w:val="000000"/>
          <w:sz w:val="28"/>
          <w:szCs w:val="28"/>
        </w:rPr>
      </w:pPr>
      <w:r>
        <w:rPr>
          <w:rFonts w:hint="eastAsia" w:ascii="仿宋" w:hAnsi="仿宋" w:eastAsia="仿宋" w:cs="仿宋"/>
          <w:color w:val="000000"/>
          <w:sz w:val="28"/>
          <w:szCs w:val="28"/>
        </w:rPr>
        <w:t>服务乡村振兴和“百县千镇万村高质量发展工程”重点建设任务：</w:t>
      </w:r>
      <w:r>
        <w:rPr>
          <w:rFonts w:hint="eastAsia" w:ascii="仿宋" w:hAnsi="仿宋" w:eastAsia="仿宋" w:cs="仿宋"/>
          <w:bCs/>
          <w:color w:val="000000"/>
          <w:sz w:val="28"/>
          <w:szCs w:val="28"/>
        </w:rPr>
        <w:t>构建支持乡村产业振兴的高校科技创新服务体系，重点发展乡村振兴党建引领、农业产业链延伸、农业功能拓展、农业信息技术保障，助力农村组织振兴、产业振兴、人才振兴、文化振兴、生态振兴。以教育帮扶、人才培训为突破口，构建乡村振兴组织保障体系，整合资源，派出由农工商专业教师组合的农业科技特派员，精准帮扶博罗石坝、柏塘、横河镇、龙门龙田、永汉、龙潭、惠阳沙田等共7个镇，有效地将高校的智力、技术和资源有力辐射到需求区域，把科研创新搬到田间地头，把农业技术送到老百姓身边。重点帮扶发展乡镇农产品加工业、乡村休闲旅游业、农村电商业，纵向打造农业的全产业链，推动产业向前向后端延伸，向上下游拓展；横向促进农业与其他产业深度融合，丰富乡村产业类型，提升乡村经济价值。</w:t>
      </w:r>
    </w:p>
    <w:p>
      <w:pPr>
        <w:spacing w:line="540" w:lineRule="exact"/>
        <w:ind w:firstLine="560" w:firstLineChars="200"/>
        <w:jc w:val="left"/>
        <w:rPr>
          <w:rFonts w:ascii="仿宋" w:hAnsi="仿宋" w:eastAsia="仿宋" w:cs="仿宋"/>
          <w:color w:val="000000"/>
          <w:sz w:val="28"/>
          <w:szCs w:val="28"/>
        </w:rPr>
      </w:pPr>
      <w:r>
        <w:rPr>
          <w:rFonts w:hint="eastAsia" w:ascii="仿宋" w:hAnsi="仿宋" w:eastAsia="仿宋" w:cs="仿宋"/>
          <w:color w:val="000000"/>
          <w:sz w:val="28"/>
          <w:szCs w:val="28"/>
        </w:rPr>
        <w:t>百校联百县助力“百县千镇万村高质量发展工程”重点建设任务：</w:t>
      </w:r>
      <w:r>
        <w:rPr>
          <w:rFonts w:hint="eastAsia" w:ascii="仿宋" w:hAnsi="仿宋" w:eastAsia="仿宋" w:cs="仿宋"/>
          <w:bCs/>
          <w:color w:val="000000"/>
          <w:sz w:val="28"/>
          <w:szCs w:val="28"/>
        </w:rPr>
        <w:t>通过调研，为韶关南雄市传统工业的产业升级服务，为传统农业技术支持服务，开展特色农产品培育、生态养殖、食品精深加工等技术示范与应用推广。协助当地政府及企业部门培训食品技术加工检测类人才。每年开展南雄市职业院校师资培训提升班及信息技术技能培训班。协助南雄市相关职业院校建成新能源汽车运用与维修相关专业。围绕南雄市旅游资源，策划梅关古驿道、灵潭驿站、驿道梅园、珠玑古巷等精品线路设计。组建专项工作团队，常态化开展多彩乡村文化和特色农产品宣传推介；选拔优秀教师，加入南雄市“百千万工程”决策咨询专班专家智库，参与南雄市改革试点，开展社会调查研究和咨询服务。</w:t>
      </w:r>
    </w:p>
    <w:p>
      <w:pPr>
        <w:keepNext/>
        <w:keepLines/>
        <w:spacing w:line="540" w:lineRule="exact"/>
        <w:ind w:firstLine="562" w:firstLineChars="200"/>
        <w:outlineLvl w:val="3"/>
        <w:rPr>
          <w:rFonts w:ascii="Times New Roman" w:hAnsi="Times New Roman" w:eastAsia="仿宋"/>
          <w:b/>
          <w:sz w:val="28"/>
          <w:szCs w:val="28"/>
        </w:rPr>
      </w:pPr>
      <w:r>
        <w:rPr>
          <w:rFonts w:hint="eastAsia" w:ascii="Times New Roman" w:hAnsi="Times New Roman" w:eastAsia="仿宋"/>
          <w:b/>
          <w:sz w:val="28"/>
          <w:szCs w:val="28"/>
        </w:rPr>
        <w:t>（5）建设计划</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3363"/>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lang w:eastAsia="en-US"/>
              </w:rPr>
            </w:pPr>
            <w:r>
              <w:rPr>
                <w:rFonts w:hint="eastAsia" w:ascii="仿宋" w:hAnsi="仿宋" w:eastAsia="仿宋" w:cs="仿宋"/>
                <w:b/>
                <w:bCs/>
                <w:color w:val="000000"/>
                <w:kern w:val="0"/>
                <w:szCs w:val="21"/>
                <w:lang w:eastAsia="en-US"/>
              </w:rPr>
              <w:t>年度</w:t>
            </w:r>
          </w:p>
        </w:tc>
        <w:tc>
          <w:tcPr>
            <w:tcW w:w="1704" w:type="dxa"/>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lang w:eastAsia="en-US"/>
              </w:rPr>
            </w:pPr>
            <w:r>
              <w:rPr>
                <w:rFonts w:hint="eastAsia" w:ascii="仿宋" w:hAnsi="仿宋" w:eastAsia="仿宋" w:cs="仿宋"/>
                <w:b/>
                <w:bCs/>
                <w:color w:val="000000"/>
                <w:kern w:val="0"/>
                <w:szCs w:val="21"/>
                <w:lang w:eastAsia="en-US"/>
              </w:rPr>
              <w:t>建设任务</w:t>
            </w:r>
          </w:p>
        </w:tc>
        <w:tc>
          <w:tcPr>
            <w:tcW w:w="3363" w:type="dxa"/>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lang w:eastAsia="en-US"/>
              </w:rPr>
            </w:pPr>
            <w:r>
              <w:rPr>
                <w:rFonts w:hint="eastAsia" w:ascii="仿宋" w:hAnsi="仿宋" w:eastAsia="仿宋" w:cs="仿宋"/>
                <w:b/>
                <w:bCs/>
                <w:color w:val="000000"/>
                <w:kern w:val="0"/>
                <w:szCs w:val="21"/>
                <w:lang w:eastAsia="en-US"/>
              </w:rPr>
              <w:t>建设内容</w:t>
            </w:r>
          </w:p>
        </w:tc>
        <w:tc>
          <w:tcPr>
            <w:tcW w:w="1559" w:type="dxa"/>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lang w:eastAsia="en-US"/>
              </w:rPr>
            </w:pPr>
            <w:r>
              <w:rPr>
                <w:rFonts w:hint="eastAsia" w:ascii="仿宋" w:hAnsi="仿宋" w:eastAsia="仿宋" w:cs="仿宋"/>
                <w:b/>
                <w:bCs/>
                <w:color w:val="000000"/>
                <w:kern w:val="0"/>
                <w:szCs w:val="21"/>
                <w:lang w:eastAsia="en-US"/>
              </w:rPr>
              <w:t>负责部门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restart"/>
            <w:vAlign w:val="center"/>
          </w:tcPr>
          <w:p>
            <w:pPr>
              <w:jc w:val="center"/>
              <w:rPr>
                <w:rFonts w:ascii="仿宋" w:hAnsi="仿宋" w:eastAsia="仿宋" w:cs="仿宋"/>
                <w:b/>
                <w:szCs w:val="21"/>
              </w:rPr>
            </w:pPr>
            <w:r>
              <w:rPr>
                <w:rFonts w:hint="eastAsia" w:ascii="仿宋" w:hAnsi="仿宋" w:eastAsia="仿宋" w:cs="仿宋"/>
                <w:b/>
                <w:szCs w:val="21"/>
              </w:rPr>
              <w:t>2023</w:t>
            </w:r>
          </w:p>
        </w:tc>
        <w:tc>
          <w:tcPr>
            <w:tcW w:w="1704" w:type="dxa"/>
            <w:vAlign w:val="center"/>
          </w:tcPr>
          <w:p>
            <w:pPr>
              <w:jc w:val="left"/>
              <w:rPr>
                <w:rFonts w:ascii="仿宋" w:hAnsi="仿宋" w:eastAsia="仿宋" w:cs="仿宋"/>
                <w:bCs/>
                <w:color w:val="000000"/>
                <w:szCs w:val="21"/>
              </w:rPr>
            </w:pPr>
            <w:r>
              <w:rPr>
                <w:rFonts w:hint="eastAsia" w:ascii="仿宋" w:hAnsi="仿宋" w:eastAsia="仿宋" w:cs="仿宋"/>
                <w:bCs/>
                <w:color w:val="000000"/>
                <w:szCs w:val="21"/>
              </w:rPr>
              <w:t>“百县千镇万村高质量发展工程”</w:t>
            </w:r>
          </w:p>
        </w:tc>
        <w:tc>
          <w:tcPr>
            <w:tcW w:w="3363" w:type="dxa"/>
            <w:vAlign w:val="center"/>
          </w:tcPr>
          <w:p>
            <w:pPr>
              <w:jc w:val="left"/>
              <w:rPr>
                <w:rFonts w:ascii="仿宋" w:hAnsi="仿宋" w:eastAsia="仿宋" w:cs="仿宋"/>
                <w:bCs/>
                <w:color w:val="000000"/>
                <w:szCs w:val="21"/>
              </w:rPr>
            </w:pPr>
            <w:r>
              <w:rPr>
                <w:rFonts w:hint="eastAsia" w:ascii="仿宋" w:hAnsi="仿宋" w:eastAsia="仿宋" w:cs="仿宋"/>
                <w:bCs/>
                <w:color w:val="000000"/>
                <w:szCs w:val="21"/>
              </w:rPr>
              <w:t>构建支持乡村产业振兴的高校科技创新服务体系，重点发展乡村振兴党建引领、农业产业链延伸、农业功能拓展、农业信息技术保障，助力农村组织振兴、产业振兴、人才振兴、文化振兴、生态振兴。</w:t>
            </w:r>
          </w:p>
        </w:tc>
        <w:tc>
          <w:tcPr>
            <w:tcW w:w="1559" w:type="dxa"/>
            <w:vAlign w:val="center"/>
          </w:tcPr>
          <w:p>
            <w:pPr>
              <w:pStyle w:val="6"/>
              <w:rPr>
                <w:rFonts w:ascii="仿宋" w:hAnsi="仿宋" w:eastAsia="仿宋" w:cs="仿宋"/>
                <w:bCs/>
                <w:color w:val="000000"/>
                <w:szCs w:val="21"/>
              </w:rPr>
            </w:pPr>
            <w:r>
              <w:rPr>
                <w:rFonts w:hint="eastAsia" w:ascii="仿宋" w:hAnsi="仿宋" w:eastAsia="仿宋" w:cs="仿宋"/>
                <w:bCs/>
                <w:color w:val="000000"/>
                <w:szCs w:val="21"/>
              </w:rPr>
              <w:t>科技处、生态工程学院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continue"/>
            <w:vAlign w:val="center"/>
          </w:tcPr>
          <w:p>
            <w:pPr>
              <w:jc w:val="center"/>
              <w:rPr>
                <w:rFonts w:ascii="仿宋" w:hAnsi="仿宋" w:eastAsia="仿宋" w:cs="仿宋"/>
                <w:b/>
                <w:szCs w:val="21"/>
              </w:rPr>
            </w:pPr>
          </w:p>
        </w:tc>
        <w:tc>
          <w:tcPr>
            <w:tcW w:w="1704" w:type="dxa"/>
            <w:vAlign w:val="center"/>
          </w:tcPr>
          <w:p>
            <w:pPr>
              <w:jc w:val="left"/>
              <w:rPr>
                <w:rFonts w:ascii="仿宋" w:hAnsi="仿宋" w:eastAsia="仿宋" w:cs="仿宋"/>
                <w:bCs/>
                <w:color w:val="000000"/>
                <w:szCs w:val="21"/>
              </w:rPr>
            </w:pPr>
            <w:r>
              <w:rPr>
                <w:rFonts w:hint="eastAsia" w:ascii="仿宋" w:hAnsi="仿宋" w:eastAsia="仿宋" w:cs="仿宋"/>
                <w:bCs/>
                <w:color w:val="000000"/>
                <w:szCs w:val="21"/>
              </w:rPr>
              <w:t>百校联百县助力“百县千镇万村高质量发展工程”</w:t>
            </w:r>
          </w:p>
        </w:tc>
        <w:tc>
          <w:tcPr>
            <w:tcW w:w="3363" w:type="dxa"/>
            <w:vAlign w:val="center"/>
          </w:tcPr>
          <w:p>
            <w:pPr>
              <w:jc w:val="left"/>
              <w:rPr>
                <w:rFonts w:ascii="仿宋" w:hAnsi="仿宋" w:eastAsia="仿宋" w:cs="仿宋"/>
                <w:bCs/>
                <w:color w:val="000000"/>
                <w:szCs w:val="21"/>
              </w:rPr>
            </w:pPr>
            <w:r>
              <w:rPr>
                <w:rFonts w:hint="eastAsia" w:ascii="仿宋" w:hAnsi="仿宋" w:eastAsia="仿宋" w:cs="仿宋"/>
                <w:bCs/>
                <w:color w:val="000000"/>
                <w:szCs w:val="21"/>
              </w:rPr>
              <w:t>通过调研，为韶关南雄市传统工业的产业升级服务，为传统农业技术支持服务，开展特色农产品培育、生态养殖、食品精深加工等技术示范与应用推广。协助当地政府及企业部门培训食品技术加工检测类人才。</w:t>
            </w:r>
          </w:p>
        </w:tc>
        <w:tc>
          <w:tcPr>
            <w:tcW w:w="1559" w:type="dxa"/>
            <w:vAlign w:val="center"/>
          </w:tcPr>
          <w:p>
            <w:pPr>
              <w:jc w:val="center"/>
              <w:rPr>
                <w:rFonts w:ascii="仿宋" w:hAnsi="仿宋" w:eastAsia="仿宋" w:cs="仿宋"/>
                <w:bCs/>
                <w:color w:val="000000"/>
                <w:szCs w:val="21"/>
              </w:rPr>
            </w:pPr>
            <w:r>
              <w:rPr>
                <w:rFonts w:hint="eastAsia" w:ascii="仿宋" w:hAnsi="仿宋" w:eastAsia="仿宋" w:cs="仿宋"/>
                <w:bCs/>
                <w:color w:val="000000"/>
                <w:szCs w:val="21"/>
              </w:rPr>
              <w:t>生态工程学院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restart"/>
            <w:vAlign w:val="center"/>
          </w:tcPr>
          <w:p>
            <w:pPr>
              <w:jc w:val="center"/>
              <w:rPr>
                <w:rFonts w:ascii="仿宋" w:hAnsi="仿宋" w:eastAsia="仿宋" w:cs="仿宋"/>
                <w:b/>
                <w:szCs w:val="21"/>
              </w:rPr>
            </w:pPr>
            <w:r>
              <w:rPr>
                <w:rFonts w:hint="eastAsia" w:ascii="仿宋" w:hAnsi="仿宋" w:eastAsia="仿宋" w:cs="仿宋"/>
                <w:b/>
                <w:szCs w:val="21"/>
              </w:rPr>
              <w:t>2024</w:t>
            </w:r>
          </w:p>
        </w:tc>
        <w:tc>
          <w:tcPr>
            <w:tcW w:w="1704" w:type="dxa"/>
            <w:vAlign w:val="center"/>
          </w:tcPr>
          <w:p>
            <w:pPr>
              <w:jc w:val="left"/>
              <w:rPr>
                <w:rFonts w:ascii="仿宋" w:hAnsi="仿宋" w:eastAsia="仿宋" w:cs="仿宋"/>
                <w:bCs/>
                <w:color w:val="000000"/>
                <w:szCs w:val="21"/>
              </w:rPr>
            </w:pPr>
            <w:r>
              <w:rPr>
                <w:rFonts w:hint="eastAsia" w:ascii="仿宋" w:hAnsi="仿宋" w:eastAsia="仿宋" w:cs="仿宋"/>
                <w:bCs/>
                <w:color w:val="000000"/>
                <w:szCs w:val="21"/>
              </w:rPr>
              <w:t>“百县千镇万村高质量发展工程”</w:t>
            </w:r>
          </w:p>
        </w:tc>
        <w:tc>
          <w:tcPr>
            <w:tcW w:w="3363" w:type="dxa"/>
            <w:vAlign w:val="center"/>
          </w:tcPr>
          <w:p>
            <w:pPr>
              <w:jc w:val="left"/>
              <w:rPr>
                <w:rFonts w:ascii="仿宋" w:hAnsi="仿宋" w:eastAsia="仿宋" w:cs="仿宋"/>
                <w:bCs/>
                <w:color w:val="000000"/>
                <w:szCs w:val="21"/>
              </w:rPr>
            </w:pPr>
            <w:r>
              <w:rPr>
                <w:rFonts w:hint="eastAsia" w:ascii="仿宋" w:hAnsi="仿宋" w:eastAsia="仿宋" w:cs="仿宋"/>
                <w:bCs/>
                <w:color w:val="000000"/>
                <w:szCs w:val="21"/>
              </w:rPr>
              <w:t>以教育帮扶、人才培训为突破口，构建乡村振兴组织保障体系，整合资源，派出由农工商专业教师组合的农业科技特派员，精准帮扶博罗石坝、柏塘、横河镇、龙门龙田、永汉、龙潭、惠阳沙田等共7个镇，有效地将高校的智力、技术和资源有力辐射到需求区域，把科研创新搬到田间地头，把农业技术送到老百姓身边。</w:t>
            </w:r>
          </w:p>
        </w:tc>
        <w:tc>
          <w:tcPr>
            <w:tcW w:w="1559" w:type="dxa"/>
            <w:vAlign w:val="center"/>
          </w:tcPr>
          <w:p>
            <w:pPr>
              <w:jc w:val="center"/>
              <w:rPr>
                <w:rFonts w:ascii="仿宋" w:hAnsi="仿宋" w:eastAsia="仿宋" w:cs="仿宋"/>
                <w:bCs/>
                <w:color w:val="000000"/>
                <w:szCs w:val="21"/>
              </w:rPr>
            </w:pPr>
            <w:r>
              <w:rPr>
                <w:rFonts w:hint="eastAsia" w:ascii="仿宋" w:hAnsi="仿宋" w:eastAsia="仿宋" w:cs="仿宋"/>
                <w:bCs/>
                <w:color w:val="000000"/>
                <w:szCs w:val="21"/>
              </w:rPr>
              <w:t>科技处、生态工程学院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continue"/>
            <w:vAlign w:val="center"/>
          </w:tcPr>
          <w:p>
            <w:pPr>
              <w:jc w:val="center"/>
              <w:rPr>
                <w:rFonts w:ascii="仿宋" w:hAnsi="仿宋" w:eastAsia="仿宋" w:cs="仿宋"/>
                <w:b/>
                <w:szCs w:val="21"/>
              </w:rPr>
            </w:pPr>
          </w:p>
        </w:tc>
        <w:tc>
          <w:tcPr>
            <w:tcW w:w="1704" w:type="dxa"/>
            <w:vAlign w:val="center"/>
          </w:tcPr>
          <w:p>
            <w:pPr>
              <w:jc w:val="left"/>
              <w:rPr>
                <w:rFonts w:ascii="仿宋" w:hAnsi="仿宋" w:eastAsia="仿宋" w:cs="仿宋"/>
                <w:bCs/>
                <w:color w:val="000000"/>
                <w:szCs w:val="21"/>
              </w:rPr>
            </w:pPr>
            <w:r>
              <w:rPr>
                <w:rFonts w:hint="eastAsia" w:ascii="仿宋" w:hAnsi="仿宋" w:eastAsia="仿宋" w:cs="仿宋"/>
                <w:bCs/>
                <w:color w:val="000000"/>
                <w:szCs w:val="21"/>
              </w:rPr>
              <w:t>百校联百县助力“百县千镇万村高质量发展工程”</w:t>
            </w:r>
          </w:p>
        </w:tc>
        <w:tc>
          <w:tcPr>
            <w:tcW w:w="3363" w:type="dxa"/>
            <w:vAlign w:val="center"/>
          </w:tcPr>
          <w:p>
            <w:pPr>
              <w:jc w:val="left"/>
              <w:rPr>
                <w:rFonts w:ascii="仿宋" w:hAnsi="仿宋" w:eastAsia="仿宋" w:cs="仿宋"/>
                <w:bCs/>
                <w:color w:val="000000"/>
                <w:szCs w:val="21"/>
              </w:rPr>
            </w:pPr>
            <w:r>
              <w:rPr>
                <w:rFonts w:hint="eastAsia" w:ascii="仿宋" w:hAnsi="仿宋" w:eastAsia="仿宋" w:cs="仿宋"/>
                <w:bCs/>
                <w:color w:val="000000"/>
                <w:szCs w:val="21"/>
              </w:rPr>
              <w:t>每年开展南雄市职业学校师资培训提升班及信息技术技能培训班。协助南雄市相关职业院校建成新能源汽车运用与维修相关专业。围绕南雄市旅游资源，策划梅关古驿道、灵潭驿站、驿道梅园、珠玑古巷等精品线路设计。</w:t>
            </w:r>
          </w:p>
        </w:tc>
        <w:tc>
          <w:tcPr>
            <w:tcW w:w="1559" w:type="dxa"/>
            <w:vAlign w:val="center"/>
          </w:tcPr>
          <w:p>
            <w:pPr>
              <w:jc w:val="center"/>
              <w:rPr>
                <w:rFonts w:ascii="仿宋" w:hAnsi="仿宋" w:eastAsia="仿宋" w:cs="仿宋"/>
                <w:bCs/>
                <w:color w:val="000000"/>
                <w:szCs w:val="21"/>
              </w:rPr>
            </w:pPr>
            <w:r>
              <w:rPr>
                <w:rFonts w:hint="eastAsia" w:ascii="仿宋" w:hAnsi="仿宋" w:eastAsia="仿宋" w:cs="仿宋"/>
                <w:bCs/>
                <w:color w:val="000000"/>
                <w:szCs w:val="21"/>
              </w:rPr>
              <w:t>人事处、科技处、机电工程学院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restart"/>
            <w:vAlign w:val="center"/>
          </w:tcPr>
          <w:p>
            <w:pPr>
              <w:jc w:val="center"/>
              <w:rPr>
                <w:rFonts w:ascii="仿宋" w:hAnsi="仿宋" w:eastAsia="仿宋" w:cs="仿宋"/>
                <w:b/>
                <w:szCs w:val="21"/>
              </w:rPr>
            </w:pPr>
            <w:r>
              <w:rPr>
                <w:rFonts w:hint="eastAsia" w:ascii="仿宋" w:hAnsi="仿宋" w:eastAsia="仿宋" w:cs="仿宋"/>
                <w:b/>
                <w:szCs w:val="21"/>
              </w:rPr>
              <w:t>2025</w:t>
            </w:r>
          </w:p>
        </w:tc>
        <w:tc>
          <w:tcPr>
            <w:tcW w:w="1704" w:type="dxa"/>
            <w:vAlign w:val="center"/>
          </w:tcPr>
          <w:p>
            <w:pPr>
              <w:jc w:val="left"/>
              <w:rPr>
                <w:rFonts w:ascii="仿宋" w:hAnsi="仿宋" w:eastAsia="仿宋" w:cs="仿宋"/>
                <w:bCs/>
                <w:color w:val="000000"/>
                <w:szCs w:val="21"/>
              </w:rPr>
            </w:pPr>
            <w:r>
              <w:rPr>
                <w:rFonts w:hint="eastAsia" w:ascii="仿宋" w:hAnsi="仿宋" w:eastAsia="仿宋" w:cs="仿宋"/>
                <w:bCs/>
                <w:color w:val="000000"/>
                <w:szCs w:val="21"/>
              </w:rPr>
              <w:t>“百县千镇万村高质量发展工程”</w:t>
            </w:r>
          </w:p>
        </w:tc>
        <w:tc>
          <w:tcPr>
            <w:tcW w:w="3363" w:type="dxa"/>
            <w:vAlign w:val="center"/>
          </w:tcPr>
          <w:p>
            <w:pPr>
              <w:jc w:val="left"/>
              <w:rPr>
                <w:rFonts w:ascii="仿宋" w:hAnsi="仿宋" w:eastAsia="仿宋" w:cs="仿宋"/>
                <w:bCs/>
                <w:color w:val="000000"/>
                <w:szCs w:val="21"/>
              </w:rPr>
            </w:pPr>
            <w:r>
              <w:rPr>
                <w:rFonts w:hint="eastAsia" w:ascii="仿宋" w:hAnsi="仿宋" w:eastAsia="仿宋" w:cs="仿宋"/>
                <w:bCs/>
                <w:color w:val="000000"/>
                <w:szCs w:val="21"/>
              </w:rPr>
              <w:t>重点帮扶发展乡镇农产品加工业、乡村休闲旅游业、农村电商业，纵向打造农业的全产业链，推动产业向前向后端延伸，向上下游拓展；横向促进农业与其他产业深度融合，丰富乡村产业类型，提升乡村经济价值。</w:t>
            </w:r>
          </w:p>
        </w:tc>
        <w:tc>
          <w:tcPr>
            <w:tcW w:w="1559" w:type="dxa"/>
            <w:vAlign w:val="center"/>
          </w:tcPr>
          <w:p>
            <w:pPr>
              <w:jc w:val="center"/>
              <w:rPr>
                <w:rFonts w:ascii="仿宋" w:hAnsi="仿宋" w:eastAsia="仿宋" w:cs="仿宋"/>
                <w:bCs/>
                <w:color w:val="000000"/>
                <w:szCs w:val="21"/>
              </w:rPr>
            </w:pPr>
            <w:r>
              <w:rPr>
                <w:rFonts w:hint="eastAsia" w:ascii="仿宋" w:hAnsi="仿宋" w:eastAsia="仿宋" w:cs="仿宋"/>
                <w:bCs/>
                <w:color w:val="000000"/>
                <w:szCs w:val="21"/>
              </w:rPr>
              <w:t>科技处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continue"/>
            <w:vAlign w:val="center"/>
          </w:tcPr>
          <w:p>
            <w:pPr>
              <w:jc w:val="center"/>
              <w:rPr>
                <w:rFonts w:ascii="仿宋" w:hAnsi="仿宋" w:eastAsia="仿宋" w:cs="仿宋"/>
                <w:bCs/>
                <w:szCs w:val="21"/>
              </w:rPr>
            </w:pPr>
          </w:p>
        </w:tc>
        <w:tc>
          <w:tcPr>
            <w:tcW w:w="1704" w:type="dxa"/>
            <w:vAlign w:val="center"/>
          </w:tcPr>
          <w:p>
            <w:pPr>
              <w:jc w:val="left"/>
              <w:rPr>
                <w:rFonts w:ascii="仿宋" w:hAnsi="仿宋" w:eastAsia="仿宋" w:cs="仿宋"/>
                <w:bCs/>
                <w:color w:val="000000"/>
                <w:szCs w:val="21"/>
              </w:rPr>
            </w:pPr>
            <w:r>
              <w:rPr>
                <w:rFonts w:hint="eastAsia" w:ascii="仿宋" w:hAnsi="仿宋" w:eastAsia="仿宋" w:cs="仿宋"/>
                <w:bCs/>
                <w:color w:val="000000"/>
                <w:szCs w:val="21"/>
              </w:rPr>
              <w:t>百校联百县助力“百县千镇万村高质量发展工程”</w:t>
            </w:r>
          </w:p>
        </w:tc>
        <w:tc>
          <w:tcPr>
            <w:tcW w:w="3363" w:type="dxa"/>
            <w:vAlign w:val="center"/>
          </w:tcPr>
          <w:p>
            <w:pPr>
              <w:jc w:val="left"/>
              <w:rPr>
                <w:rFonts w:ascii="仿宋" w:hAnsi="仿宋" w:eastAsia="仿宋" w:cs="仿宋"/>
                <w:bCs/>
                <w:color w:val="000000"/>
                <w:szCs w:val="21"/>
              </w:rPr>
            </w:pPr>
            <w:r>
              <w:rPr>
                <w:rFonts w:hint="eastAsia" w:ascii="仿宋" w:hAnsi="仿宋" w:eastAsia="仿宋" w:cs="仿宋"/>
                <w:bCs/>
                <w:color w:val="000000"/>
                <w:szCs w:val="21"/>
              </w:rPr>
              <w:t>组建专项工作团队，常态化开展多彩乡村文化和特色农产品宣传推介；选拔优秀教师，加入南雄市“百千万工程”决策咨询专班专家智库，参与南雄市改革试点，开展社会调查研究和咨询服务。</w:t>
            </w:r>
          </w:p>
        </w:tc>
        <w:tc>
          <w:tcPr>
            <w:tcW w:w="1559" w:type="dxa"/>
            <w:vAlign w:val="center"/>
          </w:tcPr>
          <w:p>
            <w:pPr>
              <w:jc w:val="center"/>
              <w:rPr>
                <w:rFonts w:ascii="仿宋" w:hAnsi="仿宋" w:eastAsia="仿宋" w:cs="仿宋"/>
                <w:bCs/>
                <w:color w:val="000000"/>
                <w:szCs w:val="21"/>
              </w:rPr>
            </w:pPr>
            <w:r>
              <w:rPr>
                <w:rFonts w:hint="eastAsia" w:ascii="仿宋" w:hAnsi="仿宋" w:eastAsia="仿宋" w:cs="仿宋"/>
                <w:bCs/>
                <w:color w:val="000000"/>
                <w:szCs w:val="21"/>
              </w:rPr>
              <w:t>人事处、科技处、财经商贸学院</w:t>
            </w:r>
          </w:p>
        </w:tc>
      </w:tr>
    </w:tbl>
    <w:p>
      <w:pPr>
        <w:keepNext/>
        <w:keepLines/>
        <w:spacing w:line="540" w:lineRule="exact"/>
        <w:ind w:firstLine="562" w:firstLineChars="200"/>
        <w:outlineLvl w:val="3"/>
        <w:rPr>
          <w:rFonts w:ascii="Times New Roman" w:hAnsi="Times New Roman" w:eastAsia="仿宋"/>
          <w:b/>
          <w:sz w:val="28"/>
          <w:szCs w:val="28"/>
        </w:rPr>
      </w:pPr>
      <w:r>
        <w:rPr>
          <w:rFonts w:hint="eastAsia" w:ascii="Times New Roman" w:hAnsi="Times New Roman" w:eastAsia="仿宋"/>
          <w:b/>
          <w:sz w:val="28"/>
          <w:szCs w:val="28"/>
        </w:rPr>
        <w:t>（6）预期成效及资金测算</w:t>
      </w:r>
    </w:p>
    <w:tbl>
      <w:tblPr>
        <w:tblStyle w:val="16"/>
        <w:tblW w:w="0" w:type="auto"/>
        <w:jc w:val="center"/>
        <w:tblLayout w:type="autofit"/>
        <w:tblCellMar>
          <w:top w:w="15" w:type="dxa"/>
          <w:left w:w="15" w:type="dxa"/>
          <w:bottom w:w="15" w:type="dxa"/>
          <w:right w:w="15" w:type="dxa"/>
        </w:tblCellMar>
      </w:tblPr>
      <w:tblGrid>
        <w:gridCol w:w="1353"/>
        <w:gridCol w:w="1980"/>
        <w:gridCol w:w="3566"/>
        <w:gridCol w:w="479"/>
        <w:gridCol w:w="479"/>
        <w:gridCol w:w="479"/>
      </w:tblGrid>
      <w:tr>
        <w:tblPrEx>
          <w:tblCellMar>
            <w:top w:w="15" w:type="dxa"/>
            <w:left w:w="15" w:type="dxa"/>
            <w:bottom w:w="15" w:type="dxa"/>
            <w:right w:w="15" w:type="dxa"/>
          </w:tblCellMar>
        </w:tblPrEx>
        <w:trPr>
          <w:trHeight w:val="301" w:hRule="atLeast"/>
          <w:jc w:val="center"/>
        </w:trPr>
        <w:tc>
          <w:tcPr>
            <w:tcW w:w="1353" w:type="dxa"/>
            <w:vMerge w:val="restart"/>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项目名称</w:t>
            </w:r>
          </w:p>
        </w:tc>
        <w:tc>
          <w:tcPr>
            <w:tcW w:w="1980" w:type="dxa"/>
            <w:vMerge w:val="restart"/>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主要建设内容</w:t>
            </w:r>
          </w:p>
        </w:tc>
        <w:tc>
          <w:tcPr>
            <w:tcW w:w="3566" w:type="dxa"/>
            <w:vMerge w:val="restart"/>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预期建设成效</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建设资金安排表（万元）</w:t>
            </w:r>
          </w:p>
        </w:tc>
      </w:tr>
      <w:tr>
        <w:tblPrEx>
          <w:tblCellMar>
            <w:top w:w="15" w:type="dxa"/>
            <w:left w:w="15" w:type="dxa"/>
            <w:bottom w:w="15" w:type="dxa"/>
            <w:right w:w="15" w:type="dxa"/>
          </w:tblCellMar>
        </w:tblPrEx>
        <w:trPr>
          <w:trHeight w:val="286" w:hRule="atLeast"/>
          <w:jc w:val="center"/>
        </w:trPr>
        <w:tc>
          <w:tcPr>
            <w:tcW w:w="1353" w:type="dxa"/>
            <w:vMerge w:val="continue"/>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jc w:val="center"/>
              <w:rPr>
                <w:rFonts w:ascii="仿宋" w:hAnsi="仿宋" w:eastAsia="仿宋" w:cs="仿宋"/>
                <w:b/>
                <w:bCs/>
                <w:color w:val="000000"/>
                <w:szCs w:val="21"/>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jc w:val="center"/>
              <w:rPr>
                <w:rFonts w:ascii="仿宋" w:hAnsi="仿宋" w:eastAsia="仿宋" w:cs="仿宋"/>
                <w:b/>
                <w:bCs/>
                <w:color w:val="000000"/>
                <w:szCs w:val="21"/>
              </w:rPr>
            </w:pPr>
          </w:p>
        </w:tc>
        <w:tc>
          <w:tcPr>
            <w:tcW w:w="3566" w:type="dxa"/>
            <w:vMerge w:val="continue"/>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jc w:val="center"/>
              <w:rPr>
                <w:rFonts w:ascii="仿宋" w:hAnsi="仿宋" w:eastAsia="仿宋" w:cs="仿宋"/>
                <w:b/>
                <w:bCs/>
                <w:color w:val="000000"/>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kern w:val="0"/>
                <w:szCs w:val="21"/>
                <w:lang w:bidi="ar"/>
              </w:rPr>
            </w:pPr>
            <w:r>
              <w:rPr>
                <w:rFonts w:hint="eastAsia" w:ascii="仿宋" w:hAnsi="仿宋" w:eastAsia="仿宋" w:cs="仿宋"/>
                <w:b/>
                <w:bCs/>
                <w:color w:val="000000"/>
                <w:kern w:val="0"/>
                <w:szCs w:val="21"/>
                <w:lang w:bidi="ar"/>
              </w:rPr>
              <w:t>2023年</w:t>
            </w:r>
          </w:p>
        </w:tc>
        <w:tc>
          <w:tcPr>
            <w:tcW w:w="0" w:type="auto"/>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2024年</w:t>
            </w:r>
          </w:p>
        </w:tc>
        <w:tc>
          <w:tcPr>
            <w:tcW w:w="0" w:type="auto"/>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2025年</w:t>
            </w:r>
          </w:p>
        </w:tc>
      </w:tr>
      <w:tr>
        <w:tblPrEx>
          <w:tblCellMar>
            <w:top w:w="15" w:type="dxa"/>
            <w:left w:w="15" w:type="dxa"/>
            <w:bottom w:w="15" w:type="dxa"/>
            <w:right w:w="15" w:type="dxa"/>
          </w:tblCellMar>
        </w:tblPrEx>
        <w:trPr>
          <w:trHeight w:val="286" w:hRule="atLeast"/>
          <w:jc w:val="center"/>
        </w:trPr>
        <w:tc>
          <w:tcPr>
            <w:tcW w:w="135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bCs/>
                <w:color w:val="000000"/>
                <w:szCs w:val="21"/>
              </w:rPr>
            </w:pPr>
            <w:r>
              <w:rPr>
                <w:rFonts w:hint="eastAsia" w:ascii="仿宋" w:hAnsi="仿宋" w:eastAsia="仿宋" w:cs="仿宋"/>
                <w:b/>
                <w:color w:val="000000"/>
                <w:szCs w:val="21"/>
              </w:rPr>
              <w:t>服务区域发展战略项目</w:t>
            </w:r>
          </w:p>
        </w:tc>
        <w:tc>
          <w:tcPr>
            <w:tcW w:w="1980" w:type="dxa"/>
            <w:tcBorders>
              <w:top w:val="single" w:color="000000" w:sz="4" w:space="0"/>
              <w:left w:val="single" w:color="000000" w:sz="4" w:space="0"/>
              <w:bottom w:val="single" w:color="000000" w:sz="4" w:space="0"/>
              <w:right w:val="single" w:color="000000" w:sz="4" w:space="0"/>
            </w:tcBorders>
            <w:vAlign w:val="center"/>
          </w:tcPr>
          <w:p>
            <w:pPr>
              <w:tabs>
                <w:tab w:val="left" w:pos="312"/>
              </w:tabs>
              <w:rPr>
                <w:rFonts w:ascii="仿宋" w:hAnsi="仿宋" w:eastAsia="仿宋" w:cs="仿宋"/>
                <w:color w:val="000000"/>
                <w:kern w:val="0"/>
                <w:szCs w:val="21"/>
                <w:lang w:bidi="ar"/>
              </w:rPr>
            </w:pPr>
            <w:r>
              <w:rPr>
                <w:rFonts w:hint="eastAsia" w:ascii="仿宋" w:hAnsi="仿宋" w:eastAsia="仿宋" w:cs="仿宋"/>
                <w:bCs/>
                <w:color w:val="000000"/>
                <w:kern w:val="0"/>
                <w:szCs w:val="21"/>
                <w:lang w:bidi="ar"/>
              </w:rPr>
              <w:t>构建支持乡村产业振兴和县域发展的高校科技创新服务体系，整合资源，发挥高校作用，服务乡村振兴、“百千万工程”和百校联百县助力“百县千镇万村高质量发展工程”。</w:t>
            </w:r>
          </w:p>
        </w:tc>
        <w:tc>
          <w:tcPr>
            <w:tcW w:w="3566" w:type="dxa"/>
            <w:tcBorders>
              <w:top w:val="single" w:color="000000" w:sz="4" w:space="0"/>
              <w:left w:val="single" w:color="000000" w:sz="4" w:space="0"/>
              <w:bottom w:val="single" w:color="000000" w:sz="4" w:space="0"/>
              <w:right w:val="single" w:color="000000" w:sz="4" w:space="0"/>
            </w:tcBorders>
            <w:vAlign w:val="center"/>
          </w:tcPr>
          <w:p>
            <w:pPr>
              <w:tabs>
                <w:tab w:val="left" w:pos="312"/>
              </w:tabs>
              <w:rPr>
                <w:rFonts w:ascii="仿宋" w:hAnsi="仿宋" w:eastAsia="仿宋" w:cs="仿宋"/>
                <w:color w:val="000000"/>
                <w:kern w:val="0"/>
                <w:szCs w:val="21"/>
                <w:lang w:bidi="ar"/>
              </w:rPr>
            </w:pPr>
            <w:r>
              <w:rPr>
                <w:rFonts w:hint="eastAsia" w:ascii="仿宋" w:hAnsi="仿宋" w:eastAsia="仿宋" w:cs="仿宋"/>
                <w:color w:val="000000"/>
                <w:kern w:val="0"/>
                <w:szCs w:val="21"/>
                <w:lang w:bidi="ar"/>
              </w:rPr>
              <w:t>以城乡融合、区域协调发展取得新突破为目标，立足服务对象实际，充分发挥学校教育和科技资源优势，强化产业、科技、资金、人才等要素导入，在强化重大项目带动、培育壮大县域和乡镇优势产业、提升基础设施建设、提升公共服务水平、促进城乡建设提升、强化帮扶合力和“百千万工程”典型县、镇、村打造等方面，促成更多合作项目落地实施，壮大县域综合实力，全面推进乡村振兴，提升民生保障水平，共同为广东高质量发展作出新的更大贡献。</w:t>
            </w: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仿宋" w:asciiTheme="minorEastAsia" w:hAnsiTheme="minorEastAsia"/>
                <w:bCs/>
                <w:color w:val="000000"/>
                <w:kern w:val="0"/>
                <w:sz w:val="18"/>
                <w:szCs w:val="18"/>
                <w:lang w:bidi="ar"/>
              </w:rPr>
            </w:pPr>
            <w:r>
              <w:rPr>
                <w:rFonts w:hint="eastAsia" w:cs="仿宋" w:asciiTheme="minorEastAsia" w:hAnsiTheme="minorEastAsia"/>
                <w:bCs/>
                <w:color w:val="000000"/>
                <w:kern w:val="0"/>
                <w:sz w:val="18"/>
                <w:szCs w:val="18"/>
                <w:lang w:bidi="ar"/>
              </w:rPr>
              <w:t>20</w:t>
            </w: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仿宋" w:asciiTheme="minorEastAsia" w:hAnsiTheme="minorEastAsia"/>
                <w:bCs/>
                <w:color w:val="000000"/>
                <w:kern w:val="0"/>
                <w:sz w:val="18"/>
                <w:szCs w:val="18"/>
                <w:lang w:bidi="ar"/>
              </w:rPr>
            </w:pPr>
            <w:r>
              <w:rPr>
                <w:rFonts w:hint="eastAsia" w:cs="仿宋" w:asciiTheme="minorEastAsia" w:hAnsiTheme="minorEastAsia"/>
                <w:bCs/>
                <w:color w:val="000000"/>
                <w:kern w:val="0"/>
                <w:sz w:val="18"/>
                <w:szCs w:val="18"/>
                <w:lang w:bidi="ar"/>
              </w:rPr>
              <w:t>20</w:t>
            </w: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仿宋" w:asciiTheme="minorEastAsia" w:hAnsiTheme="minorEastAsia"/>
                <w:bCs/>
                <w:color w:val="000000"/>
                <w:kern w:val="0"/>
                <w:sz w:val="18"/>
                <w:szCs w:val="18"/>
                <w:lang w:bidi="ar"/>
              </w:rPr>
            </w:pPr>
            <w:r>
              <w:rPr>
                <w:rFonts w:hint="eastAsia" w:cs="仿宋" w:asciiTheme="minorEastAsia" w:hAnsiTheme="minorEastAsia"/>
                <w:bCs/>
                <w:color w:val="000000"/>
                <w:kern w:val="0"/>
                <w:sz w:val="18"/>
                <w:szCs w:val="18"/>
                <w:lang w:bidi="ar"/>
              </w:rPr>
              <w:t>20</w:t>
            </w:r>
          </w:p>
        </w:tc>
      </w:tr>
    </w:tbl>
    <w:p/>
    <w:p>
      <w:pPr>
        <w:pStyle w:val="3"/>
        <w:ind w:firstLine="643"/>
      </w:pPr>
      <w:bookmarkStart w:id="73" w:name="_Toc164347856"/>
      <w:r>
        <w:rPr>
          <w:rFonts w:hint="eastAsia"/>
        </w:rPr>
        <w:t>（六）产教融合、校企合作项目</w:t>
      </w:r>
      <w:bookmarkEnd w:id="73"/>
    </w:p>
    <w:p>
      <w:pPr>
        <w:pStyle w:val="4"/>
      </w:pPr>
      <w:bookmarkStart w:id="74" w:name="_Toc164347857"/>
      <w:r>
        <w:rPr>
          <w:rFonts w:hint="eastAsia"/>
        </w:rPr>
        <w:t>1.产教联合体和产业学院建设项目</w:t>
      </w:r>
      <w:bookmarkEnd w:id="74"/>
    </w:p>
    <w:p>
      <w:pPr>
        <w:spacing w:line="540" w:lineRule="exact"/>
        <w:ind w:firstLine="562" w:firstLineChars="200"/>
        <w:rPr>
          <w:rFonts w:ascii="仿宋" w:hAnsi="仿宋" w:eastAsia="仿宋" w:cs="仿宋"/>
          <w:b/>
          <w:bCs/>
          <w:color w:val="FF0000"/>
          <w:sz w:val="28"/>
          <w:szCs w:val="28"/>
        </w:rPr>
      </w:pPr>
      <w:r>
        <w:rPr>
          <w:rFonts w:hint="eastAsia" w:ascii="仿宋" w:hAnsi="仿宋" w:eastAsia="仿宋" w:cs="仿宋"/>
          <w:b/>
          <w:bCs/>
          <w:sz w:val="28"/>
          <w:szCs w:val="28"/>
        </w:rPr>
        <w:t>（1）必要性和可行性</w:t>
      </w:r>
    </w:p>
    <w:p>
      <w:pPr>
        <w:spacing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中共中央办公厅 国务院办公厅印发《关于深化现代职业教育体系建设改革的意见》提出打造市域产教联合体战略任务，提出要坚持以教促产、以产助教，深化产教融合、产学合作，充分发挥政府统筹、产业聚合、企业牵引、学校主体作用，以产业园区为基础，打造一批兼具人才培养、创新创业、促进产业经济高质量发展功能的市域产教联合体。教育部、工信部印发《现代产业学院建设指南（试行）》提出要以区域产业发展急需为牵引，面向行业特色鲜明、与产业联系紧密的高校，重点是应用型高校，建设一批现代产业学院，打造一批融人才培养、科学研究、技术创新、企业服务、学生创业等功能于一体的示范性人才培养实体。</w:t>
      </w:r>
    </w:p>
    <w:p>
      <w:pPr>
        <w:spacing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学校始终坚持育人为本，致力于培养具有工匠精神的高素质技术技能人才，联合TCL、利元亨、赢合科技、理想汽车等 30 余家知名企业共建实训实践基地和产业学院，通过真实生产、实训教学、科技研发、社会培训等各要素的一体化建设，打造以学生为主体的集“产学研训创”于一身的共同体。</w:t>
      </w:r>
    </w:p>
    <w:p>
      <w:pPr>
        <w:spacing w:line="54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（2）拟解决的关键问题</w:t>
      </w:r>
    </w:p>
    <w:p>
      <w:pPr>
        <w:spacing w:line="540" w:lineRule="exact"/>
        <w:ind w:firstLine="560" w:firstLineChars="200"/>
        <w:rPr>
          <w:rFonts w:ascii="仿宋" w:hAnsi="仿宋" w:eastAsia="仿宋" w:cs="仿宋"/>
          <w:b/>
          <w:bCs/>
          <w:sz w:val="28"/>
          <w:szCs w:val="28"/>
        </w:rPr>
      </w:pPr>
      <w:r>
        <w:rPr>
          <w:rFonts w:hint="eastAsia" w:ascii="仿宋" w:hAnsi="仿宋" w:eastAsia="仿宋" w:cs="仿宋"/>
          <w:bCs/>
          <w:sz w:val="28"/>
          <w:szCs w:val="28"/>
        </w:rPr>
        <w:t>以产教融合为主线，深化校企合作深度，推动学院内涵式发展，加快构建市域产教联合体和行业产教融合共同体。依托高水平产教融合平台，培育校外实训基地，鼓励企业积极参与专业共建，促进校企人才对流，培育一批高水平校企专业带头人，优化完善专业教师到企业定期实践锻炼常态化机制，培养更多高素质技术技能人才、能工巧匠、大国工匠。</w:t>
      </w:r>
    </w:p>
    <w:p>
      <w:pPr>
        <w:spacing w:line="54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（3）建设目标</w:t>
      </w:r>
    </w:p>
    <w:p>
      <w:pPr>
        <w:spacing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建成大湾区领先的市域产教联合体2个，开放型区域产教融合实践中心12个，“双师型”教师企业实践流动站1个、具有辐射引领作用的省级产教融合实训基地5个、示范性高水平现代产业学院8个，将惠州工程职教集团建成省级示范职教集团，进一步落实现代学徒制成为构建校企命运共同体、实施校企“双主体”协同育人的典范。</w:t>
      </w:r>
    </w:p>
    <w:p>
      <w:pPr>
        <w:spacing w:line="54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（4）重点建设任务</w:t>
      </w:r>
    </w:p>
    <w:p>
      <w:pPr>
        <w:spacing w:line="540" w:lineRule="exact"/>
        <w:ind w:firstLine="562" w:firstLineChars="200"/>
        <w:rPr>
          <w:rFonts w:ascii="仿宋" w:hAnsi="仿宋" w:eastAsia="仿宋" w:cs="仿宋"/>
          <w:b/>
          <w:sz w:val="28"/>
          <w:szCs w:val="28"/>
        </w:rPr>
      </w:pPr>
      <w:r>
        <w:rPr>
          <w:rFonts w:hint="eastAsia" w:ascii="仿宋" w:hAnsi="仿宋" w:eastAsia="仿宋" w:cs="仿宋"/>
          <w:b/>
          <w:sz w:val="28"/>
          <w:szCs w:val="28"/>
        </w:rPr>
        <w:t>① 建设省级产教融合实习实践基地</w:t>
      </w:r>
    </w:p>
    <w:p>
      <w:pPr>
        <w:spacing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以“校企共管”或“委托管理”“要素统筹、协同创新”理念，探索混合所有机制产业学院、工作室、实验室的构建，提高企业办学参与度。</w:t>
      </w:r>
    </w:p>
    <w:p>
      <w:pPr>
        <w:spacing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搭建产教融合基地。立足职业化、专业化、市场化，主动联合相关合作企业，重点布局智能终端实习实践基地、人工智能实习实践基地、物联网技术实习实践基地、智能制造实习实践基地、跨境电商实习实践基地等5个省级产教融合实训基地，为学生提供一流的实践教学平台，建成在珠三角地区中具有辐射引领作用的省级产教融合实习实践基地。</w:t>
      </w:r>
    </w:p>
    <w:p>
      <w:pPr>
        <w:spacing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优化完善产教融合运行机制。立足产教融合实训基地，主动联合大湾区的相关企业，扩大校企合作范围，组建产教融合运行团队，加强校企协同育人，重点突出课堂质量、教学资源、创新能力、人才培养等职业教育内涵，实施产教融合与科教融合双轮驱动，构建政校企协同创新机制、利益联结机制。</w:t>
      </w:r>
    </w:p>
    <w:p>
      <w:pPr>
        <w:spacing w:line="540" w:lineRule="exact"/>
        <w:ind w:firstLine="562" w:firstLineChars="200"/>
        <w:rPr>
          <w:rFonts w:ascii="仿宋" w:hAnsi="仿宋" w:eastAsia="仿宋" w:cs="仿宋"/>
          <w:b/>
          <w:sz w:val="28"/>
          <w:szCs w:val="28"/>
        </w:rPr>
      </w:pPr>
      <w:r>
        <w:rPr>
          <w:rFonts w:hint="eastAsia" w:ascii="仿宋" w:hAnsi="仿宋" w:eastAsia="仿宋" w:cs="仿宋"/>
          <w:b/>
          <w:sz w:val="28"/>
          <w:szCs w:val="28"/>
        </w:rPr>
        <w:t>② 建设产教联合体</w:t>
      </w:r>
    </w:p>
    <w:p>
      <w:pPr>
        <w:spacing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强化产教联合体中政府、行业、企业、学校、科研院所和社会组织等多元主体的协同配合，建立共同决策的组织结构和决策模式。</w:t>
      </w:r>
    </w:p>
    <w:p>
      <w:pPr>
        <w:spacing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发挥行业企业在职业教育办学中的参与和主体作用，密切职业教育与行业产业的关系，促进职业院校与行业企业紧密联系，实现供需对接、资源共享、责任共担、互利共赢，产教联合体合作发展取得重要成效。</w:t>
      </w:r>
    </w:p>
    <w:p>
      <w:pPr>
        <w:spacing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人才培养质量取得重要成果。产教联合体实行校企合作育人，教学内容及时反映产业发展需求、区域特点和时代特色，完善课程体系，优化教学过程，切实提高技术技能人才培养的针对性。</w:t>
      </w:r>
    </w:p>
    <w:p>
      <w:pPr>
        <w:spacing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社会服务能力取得重要提升。服务国家和区域发展战略，为区域经济提供强力人才支撑，面向企业员工开展岗前培训、岗位培训、继续教育等，提升企业员工的技能水平和岗位适应能力。</w:t>
      </w:r>
    </w:p>
    <w:p>
      <w:pPr>
        <w:spacing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政府保障发挥重要作用。地方政府或主管部门加大经费投入和其他政策支持，支持实训基地建设，建立区域或行业的集团服务系统。</w:t>
      </w:r>
    </w:p>
    <w:p>
      <w:pPr>
        <w:spacing w:line="540" w:lineRule="exact"/>
        <w:ind w:firstLine="562" w:firstLineChars="200"/>
        <w:rPr>
          <w:rFonts w:ascii="仿宋" w:hAnsi="仿宋" w:eastAsia="仿宋" w:cs="仿宋"/>
          <w:b/>
          <w:sz w:val="28"/>
          <w:szCs w:val="28"/>
        </w:rPr>
      </w:pPr>
      <w:r>
        <w:rPr>
          <w:rFonts w:hint="eastAsia" w:ascii="仿宋" w:hAnsi="仿宋" w:eastAsia="仿宋" w:cs="仿宋"/>
          <w:b/>
          <w:sz w:val="28"/>
          <w:szCs w:val="28"/>
        </w:rPr>
        <w:t>③ 建设省级示范性产业学院</w:t>
      </w:r>
    </w:p>
    <w:p>
      <w:pPr>
        <w:spacing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依托学院现有智能工程学院、机电工程学院、信息工程学院、财经商贸学院等二级学院的办学经验，打破现有行政壁垒，以专业群为基础，以电子信息产业转型升级为导向，联合有技术、有实力、有意愿的行业领先企业，建设4所省级示范性产业学院。服务大湾区高端装备制造业、数字经济、智能终端等产业，建设TCL产业学院；聚焦新能源技术、智能制造核心技术，建设比亚迪产业学院；聚焦数字经济，新零售、新金融、数字化管理等新业态，联合京东集团建设京东科技数字应用产业学院；聚焦鸿蒙产业，成立鸿蒙现代产业学院，将专业建在产业链上，为区域经济发展和产业转型升级提供相适应的人才和技术支撑，开展应用基础研究和技术创新，推动科技成果转化和产业化，助力产业升级和社会发展。共建共享校内实习基地、专业教学资源库、在线开放课程、专业教师队伍，在学院运作层面建立权利、管理、资本、师资互认、专业共建等“共同体”机制。</w:t>
      </w:r>
    </w:p>
    <w:p>
      <w:pPr>
        <w:spacing w:line="54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（5）建设计划</w:t>
      </w:r>
    </w:p>
    <w:tbl>
      <w:tblPr>
        <w:tblStyle w:val="17"/>
        <w:tblpPr w:leftFromText="180" w:rightFromText="180" w:vertAnchor="text" w:horzAnchor="page" w:tblpXSpec="center" w:tblpY="305"/>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3363"/>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704" w:type="dxa"/>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lang w:eastAsia="en-US"/>
              </w:rPr>
            </w:pPr>
            <w:r>
              <w:rPr>
                <w:rFonts w:hint="eastAsia" w:ascii="仿宋" w:hAnsi="仿宋" w:eastAsia="仿宋" w:cs="仿宋"/>
                <w:b/>
                <w:bCs/>
                <w:color w:val="000000"/>
                <w:kern w:val="0"/>
                <w:szCs w:val="21"/>
                <w:lang w:eastAsia="en-US"/>
              </w:rPr>
              <w:t>年度</w:t>
            </w:r>
          </w:p>
        </w:tc>
        <w:tc>
          <w:tcPr>
            <w:tcW w:w="1704" w:type="dxa"/>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lang w:eastAsia="en-US"/>
              </w:rPr>
            </w:pPr>
            <w:r>
              <w:rPr>
                <w:rFonts w:hint="eastAsia" w:ascii="仿宋" w:hAnsi="仿宋" w:eastAsia="仿宋" w:cs="仿宋"/>
                <w:b/>
                <w:bCs/>
                <w:color w:val="000000"/>
                <w:kern w:val="0"/>
                <w:szCs w:val="21"/>
                <w:lang w:eastAsia="en-US"/>
              </w:rPr>
              <w:t>建设任务</w:t>
            </w:r>
          </w:p>
        </w:tc>
        <w:tc>
          <w:tcPr>
            <w:tcW w:w="3363" w:type="dxa"/>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lang w:eastAsia="en-US"/>
              </w:rPr>
            </w:pPr>
            <w:r>
              <w:rPr>
                <w:rFonts w:hint="eastAsia" w:ascii="仿宋" w:hAnsi="仿宋" w:eastAsia="仿宋" w:cs="仿宋"/>
                <w:b/>
                <w:bCs/>
                <w:color w:val="000000"/>
                <w:kern w:val="0"/>
                <w:szCs w:val="21"/>
                <w:lang w:eastAsia="en-US"/>
              </w:rPr>
              <w:t>建设内容</w:t>
            </w:r>
          </w:p>
        </w:tc>
        <w:tc>
          <w:tcPr>
            <w:tcW w:w="1559" w:type="dxa"/>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lang w:eastAsia="en-US"/>
              </w:rPr>
            </w:pPr>
            <w:r>
              <w:rPr>
                <w:rFonts w:hint="eastAsia" w:ascii="仿宋" w:hAnsi="仿宋" w:eastAsia="仿宋" w:cs="仿宋"/>
                <w:b/>
                <w:bCs/>
                <w:color w:val="000000"/>
                <w:kern w:val="0"/>
                <w:szCs w:val="21"/>
                <w:lang w:eastAsia="en-US"/>
              </w:rPr>
              <w:t>负责部门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restart"/>
            <w:vAlign w:val="center"/>
          </w:tcPr>
          <w:p>
            <w:pPr>
              <w:jc w:val="center"/>
              <w:rPr>
                <w:rFonts w:ascii="仿宋" w:hAnsi="仿宋" w:eastAsia="仿宋" w:cs="仿宋"/>
                <w:b/>
                <w:bCs/>
                <w:color w:val="000000"/>
                <w:szCs w:val="21"/>
              </w:rPr>
            </w:pPr>
            <w:r>
              <w:rPr>
                <w:rFonts w:hint="eastAsia" w:ascii="仿宋" w:hAnsi="仿宋" w:eastAsia="仿宋" w:cs="仿宋"/>
                <w:b/>
                <w:bCs/>
                <w:color w:val="000000"/>
                <w:szCs w:val="21"/>
              </w:rPr>
              <w:t>2023</w:t>
            </w:r>
          </w:p>
        </w:tc>
        <w:tc>
          <w:tcPr>
            <w:tcW w:w="1704" w:type="dxa"/>
            <w:vAlign w:val="center"/>
          </w:tcPr>
          <w:p>
            <w:pPr>
              <w:jc w:val="left"/>
              <w:rPr>
                <w:rFonts w:ascii="仿宋" w:hAnsi="仿宋" w:eastAsia="仿宋" w:cs="仿宋"/>
                <w:color w:val="000000"/>
                <w:szCs w:val="21"/>
              </w:rPr>
            </w:pPr>
            <w:r>
              <w:rPr>
                <w:rFonts w:hint="eastAsia" w:ascii="仿宋" w:hAnsi="仿宋" w:eastAsia="仿宋" w:cs="仿宋"/>
                <w:color w:val="000000"/>
                <w:szCs w:val="21"/>
              </w:rPr>
              <w:t>建设市级产教共同体</w:t>
            </w:r>
          </w:p>
        </w:tc>
        <w:tc>
          <w:tcPr>
            <w:tcW w:w="3363" w:type="dxa"/>
            <w:vAlign w:val="center"/>
          </w:tcPr>
          <w:p>
            <w:pPr>
              <w:jc w:val="left"/>
              <w:rPr>
                <w:rFonts w:ascii="仿宋" w:hAnsi="仿宋" w:eastAsia="仿宋" w:cs="仿宋"/>
                <w:color w:val="000000"/>
                <w:szCs w:val="21"/>
              </w:rPr>
            </w:pPr>
            <w:r>
              <w:rPr>
                <w:rFonts w:hint="eastAsia" w:ascii="仿宋" w:hAnsi="仿宋" w:eastAsia="仿宋" w:cs="仿宋"/>
                <w:color w:val="000000"/>
                <w:szCs w:val="21"/>
              </w:rPr>
              <w:t>统筹产教资源制定建设规划。全面梳理域内产教资源，整合与域内企业合作的院校资源，依托产教资源相对集聚的产业园区，联合各个参与主体</w:t>
            </w:r>
          </w:p>
        </w:tc>
        <w:tc>
          <w:tcPr>
            <w:tcW w:w="1559"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各二级学院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continue"/>
            <w:vAlign w:val="center"/>
          </w:tcPr>
          <w:p>
            <w:pPr>
              <w:jc w:val="center"/>
              <w:rPr>
                <w:rFonts w:ascii="仿宋" w:hAnsi="仿宋" w:eastAsia="仿宋" w:cs="仿宋"/>
                <w:b/>
                <w:bCs/>
                <w:color w:val="000000"/>
                <w:szCs w:val="21"/>
              </w:rPr>
            </w:pPr>
          </w:p>
        </w:tc>
        <w:tc>
          <w:tcPr>
            <w:tcW w:w="1704" w:type="dxa"/>
            <w:vAlign w:val="center"/>
          </w:tcPr>
          <w:p>
            <w:pPr>
              <w:jc w:val="left"/>
              <w:rPr>
                <w:rFonts w:ascii="仿宋" w:hAnsi="仿宋" w:eastAsia="仿宋" w:cs="仿宋"/>
                <w:color w:val="000000"/>
                <w:szCs w:val="21"/>
              </w:rPr>
            </w:pPr>
            <w:r>
              <w:rPr>
                <w:rFonts w:hint="eastAsia" w:ascii="仿宋" w:hAnsi="仿宋" w:eastAsia="仿宋" w:cs="仿宋"/>
                <w:color w:val="000000"/>
                <w:szCs w:val="21"/>
              </w:rPr>
              <w:t>建设省级示范职教集团</w:t>
            </w:r>
          </w:p>
        </w:tc>
        <w:tc>
          <w:tcPr>
            <w:tcW w:w="3363" w:type="dxa"/>
            <w:vAlign w:val="center"/>
          </w:tcPr>
          <w:p>
            <w:pPr>
              <w:jc w:val="left"/>
              <w:rPr>
                <w:rFonts w:ascii="仿宋" w:hAnsi="仿宋" w:eastAsia="仿宋" w:cs="仿宋"/>
                <w:color w:val="000000"/>
                <w:szCs w:val="21"/>
              </w:rPr>
            </w:pPr>
            <w:r>
              <w:rPr>
                <w:rFonts w:hint="eastAsia" w:ascii="仿宋" w:hAnsi="仿宋" w:eastAsia="仿宋" w:cs="仿宋"/>
                <w:color w:val="000000"/>
                <w:szCs w:val="21"/>
              </w:rPr>
              <w:t>成立职教集团</w:t>
            </w:r>
          </w:p>
        </w:tc>
        <w:tc>
          <w:tcPr>
            <w:tcW w:w="1559"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发展规划处、各二级学院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continue"/>
            <w:vAlign w:val="center"/>
          </w:tcPr>
          <w:p>
            <w:pPr>
              <w:jc w:val="center"/>
              <w:rPr>
                <w:rFonts w:ascii="仿宋" w:hAnsi="仿宋" w:eastAsia="仿宋" w:cs="仿宋"/>
                <w:b/>
                <w:bCs/>
                <w:color w:val="000000"/>
                <w:szCs w:val="21"/>
              </w:rPr>
            </w:pPr>
          </w:p>
        </w:tc>
        <w:tc>
          <w:tcPr>
            <w:tcW w:w="1704" w:type="dxa"/>
            <w:vAlign w:val="center"/>
          </w:tcPr>
          <w:p>
            <w:pPr>
              <w:jc w:val="left"/>
              <w:rPr>
                <w:rFonts w:ascii="仿宋" w:hAnsi="仿宋" w:eastAsia="仿宋" w:cs="仿宋"/>
                <w:color w:val="000000"/>
                <w:szCs w:val="21"/>
              </w:rPr>
            </w:pPr>
            <w:r>
              <w:rPr>
                <w:rFonts w:hint="eastAsia" w:ascii="仿宋" w:hAnsi="仿宋" w:eastAsia="仿宋" w:cs="仿宋"/>
                <w:color w:val="000000"/>
                <w:szCs w:val="21"/>
              </w:rPr>
              <w:t>建设省级示范性产业学院</w:t>
            </w:r>
          </w:p>
        </w:tc>
        <w:tc>
          <w:tcPr>
            <w:tcW w:w="3363" w:type="dxa"/>
            <w:vAlign w:val="center"/>
          </w:tcPr>
          <w:p>
            <w:pPr>
              <w:jc w:val="left"/>
              <w:rPr>
                <w:rFonts w:ascii="仿宋" w:hAnsi="仿宋" w:eastAsia="仿宋" w:cs="仿宋"/>
                <w:color w:val="000000"/>
                <w:szCs w:val="21"/>
              </w:rPr>
            </w:pPr>
            <w:r>
              <w:rPr>
                <w:rFonts w:hint="eastAsia" w:ascii="仿宋" w:hAnsi="仿宋" w:eastAsia="仿宋" w:cs="仿宋"/>
                <w:color w:val="000000"/>
                <w:szCs w:val="21"/>
              </w:rPr>
              <w:t>TCL产业学院；京东科技数字应用产业学院；</w:t>
            </w:r>
          </w:p>
        </w:tc>
        <w:tc>
          <w:tcPr>
            <w:tcW w:w="1559"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智能工程学院、财经商贸学院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restart"/>
            <w:vAlign w:val="center"/>
          </w:tcPr>
          <w:p>
            <w:pPr>
              <w:jc w:val="center"/>
              <w:rPr>
                <w:rFonts w:ascii="仿宋" w:hAnsi="仿宋" w:eastAsia="仿宋" w:cs="仿宋"/>
                <w:b/>
                <w:bCs/>
                <w:color w:val="000000"/>
                <w:szCs w:val="21"/>
              </w:rPr>
            </w:pPr>
            <w:r>
              <w:rPr>
                <w:rFonts w:hint="eastAsia" w:ascii="仿宋" w:hAnsi="仿宋" w:eastAsia="仿宋" w:cs="仿宋"/>
                <w:b/>
                <w:bCs/>
                <w:color w:val="000000"/>
                <w:szCs w:val="21"/>
              </w:rPr>
              <w:t>2024</w:t>
            </w:r>
          </w:p>
        </w:tc>
        <w:tc>
          <w:tcPr>
            <w:tcW w:w="1704" w:type="dxa"/>
            <w:vAlign w:val="center"/>
          </w:tcPr>
          <w:p>
            <w:pPr>
              <w:jc w:val="left"/>
              <w:rPr>
                <w:rFonts w:ascii="仿宋" w:hAnsi="仿宋" w:eastAsia="仿宋" w:cs="仿宋"/>
                <w:color w:val="000000"/>
                <w:szCs w:val="21"/>
              </w:rPr>
            </w:pPr>
            <w:r>
              <w:rPr>
                <w:rFonts w:hint="eastAsia" w:ascii="仿宋" w:hAnsi="仿宋" w:eastAsia="仿宋" w:cs="仿宋"/>
                <w:color w:val="000000"/>
                <w:szCs w:val="21"/>
              </w:rPr>
              <w:t>建设省级市域产教共同体</w:t>
            </w:r>
          </w:p>
        </w:tc>
        <w:tc>
          <w:tcPr>
            <w:tcW w:w="3363" w:type="dxa"/>
            <w:vAlign w:val="center"/>
          </w:tcPr>
          <w:p>
            <w:pPr>
              <w:jc w:val="left"/>
              <w:rPr>
                <w:rFonts w:ascii="仿宋" w:hAnsi="仿宋" w:eastAsia="仿宋" w:cs="仿宋"/>
                <w:color w:val="000000"/>
                <w:szCs w:val="21"/>
              </w:rPr>
            </w:pPr>
            <w:r>
              <w:rPr>
                <w:rFonts w:hint="eastAsia" w:ascii="仿宋" w:hAnsi="仿宋" w:eastAsia="仿宋" w:cs="仿宋"/>
                <w:color w:val="000000"/>
                <w:szCs w:val="21"/>
              </w:rPr>
              <w:t>建设共性技术服务平台。支持联合体内职业院校、普通高校、科研机构与企业开展协同攻关，为园区企业提供技术咨询与服务，促进技术创新、工艺改进、产品升级，解决实际生产问题。</w:t>
            </w:r>
          </w:p>
        </w:tc>
        <w:tc>
          <w:tcPr>
            <w:tcW w:w="1559"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各二级学院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continue"/>
            <w:vAlign w:val="center"/>
          </w:tcPr>
          <w:p>
            <w:pPr>
              <w:jc w:val="center"/>
              <w:rPr>
                <w:rFonts w:ascii="仿宋" w:hAnsi="仿宋" w:eastAsia="仿宋" w:cs="仿宋"/>
                <w:b/>
                <w:bCs/>
                <w:color w:val="000000"/>
                <w:szCs w:val="21"/>
              </w:rPr>
            </w:pPr>
          </w:p>
        </w:tc>
        <w:tc>
          <w:tcPr>
            <w:tcW w:w="1704" w:type="dxa"/>
            <w:vAlign w:val="center"/>
          </w:tcPr>
          <w:p>
            <w:pPr>
              <w:jc w:val="left"/>
              <w:rPr>
                <w:rFonts w:ascii="仿宋" w:hAnsi="仿宋" w:eastAsia="仿宋" w:cs="仿宋"/>
                <w:color w:val="000000"/>
                <w:szCs w:val="21"/>
              </w:rPr>
            </w:pPr>
            <w:r>
              <w:rPr>
                <w:rFonts w:hint="eastAsia" w:ascii="仿宋" w:hAnsi="仿宋" w:eastAsia="仿宋" w:cs="仿宋"/>
                <w:color w:val="000000"/>
                <w:szCs w:val="21"/>
              </w:rPr>
              <w:t>建设省级示范职教集团</w:t>
            </w:r>
          </w:p>
        </w:tc>
        <w:tc>
          <w:tcPr>
            <w:tcW w:w="3363" w:type="dxa"/>
            <w:vAlign w:val="center"/>
          </w:tcPr>
          <w:p>
            <w:pPr>
              <w:jc w:val="left"/>
              <w:rPr>
                <w:rFonts w:ascii="仿宋" w:hAnsi="仿宋" w:eastAsia="仿宋" w:cs="仿宋"/>
                <w:color w:val="000000"/>
                <w:szCs w:val="21"/>
              </w:rPr>
            </w:pPr>
            <w:r>
              <w:rPr>
                <w:rFonts w:hint="eastAsia" w:ascii="仿宋" w:hAnsi="仿宋" w:eastAsia="仿宋" w:cs="仿宋"/>
                <w:color w:val="000000"/>
                <w:szCs w:val="21"/>
              </w:rPr>
              <w:t>强化集团内涵建设。健全集团组织架构，完善决策、执行、协商、考核、监督等集团日常工作开展。增强行业协会、科技园区在集团中的作用，调动行业参与集团化办学能动性。</w:t>
            </w:r>
          </w:p>
        </w:tc>
        <w:tc>
          <w:tcPr>
            <w:tcW w:w="1559"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发展规划处、各二级学院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continue"/>
            <w:vAlign w:val="center"/>
          </w:tcPr>
          <w:p>
            <w:pPr>
              <w:jc w:val="center"/>
              <w:rPr>
                <w:rFonts w:ascii="仿宋" w:hAnsi="仿宋" w:eastAsia="仿宋" w:cs="仿宋"/>
                <w:b/>
                <w:bCs/>
                <w:color w:val="000000"/>
                <w:szCs w:val="21"/>
              </w:rPr>
            </w:pPr>
          </w:p>
        </w:tc>
        <w:tc>
          <w:tcPr>
            <w:tcW w:w="1704" w:type="dxa"/>
            <w:vAlign w:val="center"/>
          </w:tcPr>
          <w:p>
            <w:pPr>
              <w:jc w:val="left"/>
              <w:rPr>
                <w:rFonts w:ascii="仿宋" w:hAnsi="仿宋" w:eastAsia="仿宋" w:cs="仿宋"/>
                <w:color w:val="000000"/>
                <w:szCs w:val="21"/>
              </w:rPr>
            </w:pPr>
            <w:r>
              <w:rPr>
                <w:rFonts w:hint="eastAsia" w:ascii="仿宋" w:hAnsi="仿宋" w:eastAsia="仿宋" w:cs="仿宋"/>
                <w:color w:val="000000"/>
                <w:szCs w:val="21"/>
              </w:rPr>
              <w:t>建设省级示范性产业学院</w:t>
            </w:r>
          </w:p>
        </w:tc>
        <w:tc>
          <w:tcPr>
            <w:tcW w:w="3363" w:type="dxa"/>
            <w:vAlign w:val="center"/>
          </w:tcPr>
          <w:p>
            <w:pPr>
              <w:jc w:val="left"/>
              <w:rPr>
                <w:rFonts w:ascii="仿宋" w:hAnsi="仿宋" w:eastAsia="仿宋" w:cs="仿宋"/>
                <w:color w:val="000000"/>
                <w:szCs w:val="21"/>
              </w:rPr>
            </w:pPr>
            <w:r>
              <w:rPr>
                <w:rFonts w:hint="eastAsia" w:ascii="仿宋" w:hAnsi="仿宋" w:eastAsia="仿宋" w:cs="仿宋"/>
                <w:color w:val="000000"/>
                <w:szCs w:val="21"/>
              </w:rPr>
              <w:t>比亚迪产业学院</w:t>
            </w:r>
          </w:p>
        </w:tc>
        <w:tc>
          <w:tcPr>
            <w:tcW w:w="1559"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机电工程学院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restart"/>
            <w:vAlign w:val="center"/>
          </w:tcPr>
          <w:p>
            <w:pPr>
              <w:jc w:val="center"/>
              <w:rPr>
                <w:rFonts w:ascii="仿宋" w:hAnsi="仿宋" w:eastAsia="仿宋" w:cs="仿宋"/>
                <w:b/>
                <w:bCs/>
                <w:color w:val="000000"/>
                <w:szCs w:val="21"/>
              </w:rPr>
            </w:pPr>
            <w:r>
              <w:rPr>
                <w:rFonts w:hint="eastAsia" w:ascii="仿宋" w:hAnsi="仿宋" w:eastAsia="仿宋" w:cs="仿宋"/>
                <w:b/>
                <w:bCs/>
                <w:color w:val="000000"/>
                <w:szCs w:val="21"/>
              </w:rPr>
              <w:t>2025</w:t>
            </w:r>
          </w:p>
        </w:tc>
        <w:tc>
          <w:tcPr>
            <w:tcW w:w="1704" w:type="dxa"/>
            <w:vAlign w:val="center"/>
          </w:tcPr>
          <w:p>
            <w:pPr>
              <w:jc w:val="left"/>
              <w:rPr>
                <w:rFonts w:ascii="仿宋" w:hAnsi="仿宋" w:eastAsia="仿宋" w:cs="仿宋"/>
                <w:color w:val="000000"/>
                <w:szCs w:val="21"/>
              </w:rPr>
            </w:pPr>
            <w:r>
              <w:rPr>
                <w:rFonts w:hint="eastAsia" w:ascii="仿宋" w:hAnsi="仿宋" w:eastAsia="仿宋" w:cs="仿宋"/>
                <w:color w:val="000000"/>
                <w:szCs w:val="21"/>
              </w:rPr>
              <w:t>建设国家级市域产教共同体</w:t>
            </w:r>
          </w:p>
        </w:tc>
        <w:tc>
          <w:tcPr>
            <w:tcW w:w="3363" w:type="dxa"/>
            <w:vAlign w:val="center"/>
          </w:tcPr>
          <w:p>
            <w:pPr>
              <w:jc w:val="left"/>
              <w:rPr>
                <w:rFonts w:hint="eastAsia" w:ascii="仿宋" w:hAnsi="仿宋" w:eastAsia="仿宋" w:cs="仿宋"/>
                <w:color w:val="000000"/>
                <w:szCs w:val="21"/>
                <w:lang w:eastAsia="zh-CN"/>
              </w:rPr>
            </w:pPr>
            <w:r>
              <w:rPr>
                <w:rFonts w:hint="eastAsia" w:ascii="仿宋" w:hAnsi="仿宋" w:eastAsia="仿宋" w:cs="仿宋"/>
                <w:color w:val="000000"/>
                <w:szCs w:val="21"/>
              </w:rPr>
              <w:t>联合体校企合作开展技术研发的成果转化率较高，合作取得一批研究成果</w:t>
            </w:r>
            <w:r>
              <w:rPr>
                <w:rFonts w:hint="eastAsia" w:ascii="仿宋" w:hAnsi="仿宋" w:eastAsia="仿宋" w:cs="仿宋"/>
                <w:color w:val="000000"/>
                <w:szCs w:val="21"/>
                <w:lang w:eastAsia="zh-CN"/>
              </w:rPr>
              <w:t>（</w:t>
            </w:r>
            <w:r>
              <w:rPr>
                <w:rFonts w:hint="eastAsia" w:ascii="仿宋" w:hAnsi="仿宋" w:eastAsia="仿宋" w:cs="仿宋"/>
                <w:color w:val="000000"/>
                <w:szCs w:val="21"/>
              </w:rPr>
              <w:t>包括发明专利、实用新型专利等</w:t>
            </w:r>
            <w:r>
              <w:rPr>
                <w:rFonts w:hint="eastAsia" w:ascii="仿宋" w:hAnsi="仿宋" w:eastAsia="仿宋" w:cs="仿宋"/>
                <w:color w:val="000000"/>
                <w:szCs w:val="21"/>
                <w:lang w:eastAsia="zh-CN"/>
              </w:rPr>
              <w:t>）</w:t>
            </w:r>
          </w:p>
        </w:tc>
        <w:tc>
          <w:tcPr>
            <w:tcW w:w="1559"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各二级学院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continue"/>
            <w:vAlign w:val="center"/>
          </w:tcPr>
          <w:p>
            <w:pPr>
              <w:jc w:val="center"/>
              <w:rPr>
                <w:rFonts w:ascii="仿宋" w:hAnsi="仿宋" w:eastAsia="仿宋" w:cs="仿宋"/>
                <w:color w:val="000000"/>
                <w:szCs w:val="21"/>
              </w:rPr>
            </w:pPr>
          </w:p>
        </w:tc>
        <w:tc>
          <w:tcPr>
            <w:tcW w:w="1704" w:type="dxa"/>
            <w:vAlign w:val="center"/>
          </w:tcPr>
          <w:p>
            <w:pPr>
              <w:jc w:val="left"/>
              <w:rPr>
                <w:rFonts w:ascii="仿宋" w:hAnsi="仿宋" w:eastAsia="仿宋" w:cs="仿宋"/>
                <w:color w:val="000000"/>
                <w:szCs w:val="21"/>
              </w:rPr>
            </w:pPr>
            <w:r>
              <w:rPr>
                <w:rFonts w:hint="eastAsia" w:ascii="仿宋" w:hAnsi="仿宋" w:eastAsia="仿宋" w:cs="仿宋"/>
                <w:color w:val="000000"/>
                <w:szCs w:val="21"/>
              </w:rPr>
              <w:t>建设省级示范职教集团</w:t>
            </w:r>
          </w:p>
        </w:tc>
        <w:tc>
          <w:tcPr>
            <w:tcW w:w="3363" w:type="dxa"/>
            <w:vAlign w:val="center"/>
          </w:tcPr>
          <w:p>
            <w:pPr>
              <w:jc w:val="left"/>
              <w:rPr>
                <w:rFonts w:ascii="仿宋" w:hAnsi="仿宋" w:eastAsia="仿宋" w:cs="仿宋"/>
                <w:color w:val="000000"/>
                <w:szCs w:val="21"/>
              </w:rPr>
            </w:pPr>
            <w:r>
              <w:rPr>
                <w:rFonts w:hint="eastAsia" w:ascii="仿宋" w:hAnsi="仿宋" w:eastAsia="仿宋" w:cs="仿宋"/>
                <w:color w:val="000000"/>
                <w:szCs w:val="21"/>
              </w:rPr>
              <w:t>建成具有示范性的职教集团</w:t>
            </w:r>
          </w:p>
        </w:tc>
        <w:tc>
          <w:tcPr>
            <w:tcW w:w="1559"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发展规划处、各二级学院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continue"/>
            <w:vAlign w:val="center"/>
          </w:tcPr>
          <w:p>
            <w:pPr>
              <w:jc w:val="center"/>
              <w:rPr>
                <w:rFonts w:ascii="仿宋" w:hAnsi="仿宋" w:eastAsia="仿宋" w:cs="仿宋"/>
                <w:color w:val="000000"/>
                <w:szCs w:val="21"/>
              </w:rPr>
            </w:pPr>
          </w:p>
        </w:tc>
        <w:tc>
          <w:tcPr>
            <w:tcW w:w="1704" w:type="dxa"/>
            <w:vAlign w:val="center"/>
          </w:tcPr>
          <w:p>
            <w:pPr>
              <w:jc w:val="left"/>
              <w:rPr>
                <w:rFonts w:ascii="仿宋" w:hAnsi="仿宋" w:eastAsia="仿宋" w:cs="仿宋"/>
                <w:color w:val="000000"/>
                <w:szCs w:val="21"/>
              </w:rPr>
            </w:pPr>
            <w:r>
              <w:rPr>
                <w:rFonts w:hint="eastAsia" w:ascii="仿宋" w:hAnsi="仿宋" w:eastAsia="仿宋" w:cs="仿宋"/>
                <w:color w:val="000000"/>
                <w:szCs w:val="21"/>
              </w:rPr>
              <w:t>建设省级示范性产业学院</w:t>
            </w:r>
          </w:p>
        </w:tc>
        <w:tc>
          <w:tcPr>
            <w:tcW w:w="3363" w:type="dxa"/>
            <w:vAlign w:val="center"/>
          </w:tcPr>
          <w:p>
            <w:pPr>
              <w:jc w:val="left"/>
              <w:rPr>
                <w:rFonts w:ascii="仿宋" w:hAnsi="仿宋" w:eastAsia="仿宋" w:cs="仿宋"/>
                <w:color w:val="000000"/>
                <w:szCs w:val="21"/>
              </w:rPr>
            </w:pPr>
            <w:r>
              <w:rPr>
                <w:rFonts w:hint="eastAsia" w:ascii="仿宋" w:hAnsi="仿宋" w:eastAsia="仿宋" w:cs="仿宋"/>
                <w:color w:val="000000"/>
                <w:szCs w:val="21"/>
              </w:rPr>
              <w:t>鸿蒙现代产业学院，</w:t>
            </w:r>
          </w:p>
        </w:tc>
        <w:tc>
          <w:tcPr>
            <w:tcW w:w="1559"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信息工程学院</w:t>
            </w:r>
          </w:p>
        </w:tc>
      </w:tr>
    </w:tbl>
    <w:p>
      <w:pPr>
        <w:spacing w:line="54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（6）预期成效及资金测算</w:t>
      </w:r>
    </w:p>
    <w:tbl>
      <w:tblPr>
        <w:tblStyle w:val="16"/>
        <w:tblW w:w="0" w:type="auto"/>
        <w:jc w:val="center"/>
        <w:tblLayout w:type="autofit"/>
        <w:tblCellMar>
          <w:top w:w="15" w:type="dxa"/>
          <w:left w:w="15" w:type="dxa"/>
          <w:bottom w:w="15" w:type="dxa"/>
          <w:right w:w="15" w:type="dxa"/>
        </w:tblCellMar>
      </w:tblPr>
      <w:tblGrid>
        <w:gridCol w:w="489"/>
        <w:gridCol w:w="3174"/>
        <w:gridCol w:w="3221"/>
        <w:gridCol w:w="484"/>
        <w:gridCol w:w="484"/>
        <w:gridCol w:w="484"/>
      </w:tblGrid>
      <w:tr>
        <w:tblPrEx>
          <w:tblCellMar>
            <w:top w:w="15" w:type="dxa"/>
            <w:left w:w="15" w:type="dxa"/>
            <w:bottom w:w="15" w:type="dxa"/>
            <w:right w:w="15" w:type="dxa"/>
          </w:tblCellMar>
        </w:tblPrEx>
        <w:trPr>
          <w:trHeight w:val="301"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项目名称</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主要建设内容</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预期建设成效</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建设资金安排表（万元）</w:t>
            </w:r>
          </w:p>
        </w:tc>
      </w:tr>
      <w:tr>
        <w:tblPrEx>
          <w:tblCellMar>
            <w:top w:w="15" w:type="dxa"/>
            <w:left w:w="15" w:type="dxa"/>
            <w:bottom w:w="15" w:type="dxa"/>
            <w:right w:w="15" w:type="dxa"/>
          </w:tblCellMar>
        </w:tblPrEx>
        <w:trPr>
          <w:trHeight w:val="286"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jc w:val="center"/>
              <w:rPr>
                <w:rFonts w:ascii="仿宋" w:hAnsi="仿宋" w:eastAsia="仿宋" w:cs="仿宋"/>
                <w:b/>
                <w:bCs/>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jc w:val="center"/>
              <w:rPr>
                <w:rFonts w:ascii="仿宋" w:hAnsi="仿宋" w:eastAsia="仿宋" w:cs="仿宋"/>
                <w:b/>
                <w:bCs/>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jc w:val="center"/>
              <w:rPr>
                <w:rFonts w:ascii="仿宋" w:hAnsi="仿宋" w:eastAsia="仿宋" w:cs="仿宋"/>
                <w:b/>
                <w:bCs/>
                <w:color w:val="000000"/>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kern w:val="0"/>
                <w:szCs w:val="21"/>
                <w:lang w:bidi="ar"/>
              </w:rPr>
            </w:pPr>
            <w:r>
              <w:rPr>
                <w:rFonts w:hint="eastAsia" w:ascii="仿宋" w:hAnsi="仿宋" w:eastAsia="仿宋" w:cs="仿宋"/>
                <w:b/>
                <w:bCs/>
                <w:color w:val="000000"/>
                <w:kern w:val="0"/>
                <w:szCs w:val="21"/>
                <w:lang w:bidi="ar"/>
              </w:rPr>
              <w:t>2023年</w:t>
            </w:r>
          </w:p>
        </w:tc>
        <w:tc>
          <w:tcPr>
            <w:tcW w:w="0" w:type="auto"/>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2024年</w:t>
            </w:r>
          </w:p>
        </w:tc>
        <w:tc>
          <w:tcPr>
            <w:tcW w:w="0" w:type="auto"/>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2025年</w:t>
            </w:r>
          </w:p>
        </w:tc>
      </w:tr>
      <w:tr>
        <w:tblPrEx>
          <w:tblCellMar>
            <w:top w:w="15" w:type="dxa"/>
            <w:left w:w="15" w:type="dxa"/>
            <w:bottom w:w="15" w:type="dxa"/>
            <w:right w:w="15" w:type="dxa"/>
          </w:tblCellMar>
        </w:tblPrEx>
        <w:trPr>
          <w:trHeight w:val="450"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Cs w:val="21"/>
              </w:rPr>
            </w:pPr>
            <w:r>
              <w:rPr>
                <w:rFonts w:hint="eastAsia" w:ascii="仿宋" w:hAnsi="仿宋" w:eastAsia="仿宋" w:cs="仿宋"/>
                <w:b/>
                <w:bCs/>
                <w:color w:val="000000"/>
                <w:szCs w:val="21"/>
              </w:rPr>
              <w:t>产教共同体和产业学院建设项目</w:t>
            </w:r>
          </w:p>
        </w:tc>
        <w:tc>
          <w:tcPr>
            <w:tcW w:w="0" w:type="auto"/>
            <w:tcBorders>
              <w:top w:val="single" w:color="000000" w:sz="4" w:space="0"/>
              <w:left w:val="single" w:color="000000" w:sz="4" w:space="0"/>
              <w:bottom w:val="single" w:color="000000" w:sz="4" w:space="0"/>
              <w:right w:val="single" w:color="000000" w:sz="4" w:space="0"/>
            </w:tcBorders>
            <w:vAlign w:val="center"/>
          </w:tcPr>
          <w:p>
            <w:pPr>
              <w:jc w:val="left"/>
              <w:rPr>
                <w:rFonts w:ascii="仿宋" w:hAnsi="仿宋" w:eastAsia="仿宋" w:cs="仿宋"/>
                <w:color w:val="000000"/>
                <w:szCs w:val="21"/>
              </w:rPr>
            </w:pPr>
            <w:r>
              <w:rPr>
                <w:rFonts w:hint="eastAsia" w:ascii="仿宋" w:hAnsi="仿宋" w:eastAsia="仿宋" w:cs="仿宋"/>
                <w:color w:val="000000"/>
                <w:szCs w:val="21"/>
              </w:rPr>
              <w:t>以产教融合为主线，深化校企合作深度，推动学院内涵式发展，加快构建校企命运共同体。依托高水平产教融合平台，培育校外实训基地，鼓励企业积极参与专业共建，促进校企人才对流，培育一批高水平校企专业带头人，优化完善专业教师到企业定期实践锻炼常态化机制，培养更多高素质技术技能人才、能工巧匠、大国工匠。</w:t>
            </w:r>
          </w:p>
        </w:tc>
        <w:tc>
          <w:tcPr>
            <w:tcW w:w="0" w:type="auto"/>
            <w:tcBorders>
              <w:top w:val="single" w:color="000000" w:sz="4" w:space="0"/>
              <w:left w:val="single" w:color="000000" w:sz="4" w:space="0"/>
              <w:bottom w:val="single" w:color="000000" w:sz="4" w:space="0"/>
              <w:right w:val="single" w:color="000000" w:sz="4" w:space="0"/>
            </w:tcBorders>
            <w:vAlign w:val="center"/>
          </w:tcPr>
          <w:p>
            <w:pPr>
              <w:jc w:val="left"/>
              <w:rPr>
                <w:rFonts w:ascii="仿宋" w:hAnsi="仿宋" w:eastAsia="仿宋" w:cs="仿宋"/>
                <w:color w:val="000000"/>
                <w:szCs w:val="21"/>
              </w:rPr>
            </w:pPr>
            <w:r>
              <w:rPr>
                <w:rFonts w:hint="eastAsia" w:ascii="仿宋" w:hAnsi="仿宋" w:eastAsia="仿宋" w:cs="仿宋"/>
                <w:color w:val="000000"/>
                <w:szCs w:val="21"/>
              </w:rPr>
              <w:t>建成大湾区领先的市域产教联合体2个，开放型区域产教融合实践中心12个，“双师型”教师企业实践流动站1个、具有辐射引领作用的省级产教融合实训基地5个、示范性高水平现代产业学院8个，将惠州工程职教集团建成省级示范职教集团，进一步落实现代学徒制成为构建校企命运共同体、实施校企“双主体”协同育人的典范。</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Cs w:val="21"/>
              </w:rPr>
            </w:pPr>
            <w:r>
              <w:rPr>
                <w:rFonts w:hint="eastAsia" w:ascii="仿宋" w:hAnsi="仿宋" w:eastAsia="仿宋" w:cs="仿宋"/>
                <w:color w:val="000000"/>
                <w:szCs w:val="21"/>
              </w:rPr>
              <w:t>500</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Cs w:val="21"/>
              </w:rPr>
            </w:pPr>
            <w:r>
              <w:rPr>
                <w:rFonts w:hint="eastAsia" w:ascii="仿宋" w:hAnsi="仿宋" w:eastAsia="仿宋" w:cs="仿宋"/>
                <w:color w:val="000000"/>
                <w:szCs w:val="21"/>
              </w:rPr>
              <w:t>500</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Cs w:val="21"/>
              </w:rPr>
            </w:pPr>
            <w:r>
              <w:rPr>
                <w:rFonts w:hint="eastAsia" w:ascii="仿宋" w:hAnsi="仿宋" w:eastAsia="仿宋" w:cs="仿宋"/>
                <w:color w:val="000000"/>
                <w:szCs w:val="21"/>
              </w:rPr>
              <w:t>500</w:t>
            </w:r>
          </w:p>
        </w:tc>
      </w:tr>
    </w:tbl>
    <w:p/>
    <w:p>
      <w:pPr>
        <w:pStyle w:val="4"/>
      </w:pPr>
      <w:bookmarkStart w:id="75" w:name="_Toc164347858"/>
      <w:r>
        <w:rPr>
          <w:rFonts w:hint="eastAsia"/>
        </w:rPr>
        <w:t>2.</w:t>
      </w:r>
      <w:bookmarkStart w:id="76" w:name="_Toc240"/>
      <w:r>
        <w:rPr>
          <w:rFonts w:hint="eastAsia"/>
        </w:rPr>
        <w:fldChar w:fldCharType="begin"/>
      </w:r>
      <w:r>
        <w:rPr>
          <w:rFonts w:hint="eastAsia"/>
        </w:rPr>
        <w:instrText xml:space="preserve"> HYPERLINK \l "_Toc8023" </w:instrText>
      </w:r>
      <w:r>
        <w:rPr>
          <w:rFonts w:hint="eastAsia"/>
        </w:rPr>
        <w:fldChar w:fldCharType="separate"/>
      </w:r>
      <w:r>
        <w:rPr>
          <w:rFonts w:hint="eastAsia"/>
        </w:rPr>
        <w:t>开放型区域产教融合实践中心项目</w:t>
      </w:r>
      <w:bookmarkEnd w:id="75"/>
      <w:r>
        <w:rPr>
          <w:rFonts w:hint="eastAsia"/>
        </w:rPr>
        <w:fldChar w:fldCharType="end"/>
      </w:r>
      <w:bookmarkEnd w:id="76"/>
    </w:p>
    <w:p>
      <w:pPr>
        <w:spacing w:line="540" w:lineRule="exact"/>
        <w:ind w:firstLine="562" w:firstLineChars="200"/>
        <w:rPr>
          <w:rFonts w:ascii="仿宋" w:hAnsi="仿宋" w:eastAsia="仿宋"/>
          <w:b/>
          <w:bCs/>
          <w:sz w:val="28"/>
          <w:szCs w:val="28"/>
        </w:rPr>
      </w:pPr>
      <w:bookmarkStart w:id="77" w:name="_Toc27055"/>
      <w:r>
        <w:rPr>
          <w:rFonts w:hint="eastAsia" w:ascii="仿宋" w:hAnsi="仿宋" w:eastAsia="仿宋"/>
          <w:b/>
          <w:bCs/>
          <w:sz w:val="28"/>
          <w:szCs w:val="28"/>
        </w:rPr>
        <w:t>（1）必要性和可行性</w:t>
      </w:r>
    </w:p>
    <w:p>
      <w:pPr>
        <w:spacing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中共中央办公厅、国务院办公厅印发了《关于深化现代职业教育体系建设改革的意见》提出鼓励学校、企业以“校中厂”“厂中校”的方式共建一批实践中心，服务职业学校学生实习实训，企业员工培训、产品中试、工艺改进、技术研发等，对标地区产业发展前沿，建设集实践教学、社会培训、真实生产和技术服务功能为一体的开放型区域产教融合实践中心。</w:t>
      </w:r>
    </w:p>
    <w:p>
      <w:pPr>
        <w:spacing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学校已建成条件优越，设备先进，达到国内外先进水平的 11个校内综合实训基地，1 个省级虚拟仿真实训基地，100 多间一体化标准实训场馆。实训场馆下设的专业实训室均配备 86寸的一体机多媒体教学系统。实训面积达 62843 平方米。开放型区域产教融合实践中心所应具备的占地面积、建筑面积、设备数量、实训工位以及专业技术人员、管理人员数量、结构要求等条件，我校实训基地均具备。</w:t>
      </w:r>
    </w:p>
    <w:p>
      <w:pPr>
        <w:spacing w:line="540" w:lineRule="exact"/>
        <w:ind w:firstLine="562" w:firstLineChars="200"/>
        <w:rPr>
          <w:rFonts w:ascii="仿宋" w:hAnsi="仿宋" w:eastAsia="仿宋"/>
          <w:b/>
          <w:bCs/>
          <w:sz w:val="28"/>
          <w:szCs w:val="28"/>
        </w:rPr>
      </w:pPr>
      <w:r>
        <w:rPr>
          <w:rFonts w:hint="eastAsia" w:ascii="仿宋" w:hAnsi="仿宋" w:eastAsia="仿宋"/>
          <w:b/>
          <w:bCs/>
          <w:sz w:val="28"/>
          <w:szCs w:val="28"/>
        </w:rPr>
        <w:t>（2）拟解决的关键问题</w:t>
      </w:r>
    </w:p>
    <w:p>
      <w:pPr>
        <w:spacing w:line="540" w:lineRule="exact"/>
        <w:ind w:firstLine="562" w:firstLineChars="200"/>
        <w:rPr>
          <w:rFonts w:ascii="仿宋" w:hAnsi="仿宋" w:eastAsia="仿宋" w:cs="仿宋"/>
          <w:bCs/>
          <w:sz w:val="28"/>
          <w:szCs w:val="28"/>
        </w:rPr>
      </w:pPr>
      <w:r>
        <w:rPr>
          <w:rFonts w:hint="eastAsia" w:ascii="仿宋" w:hAnsi="仿宋" w:eastAsia="仿宋" w:cs="仿宋"/>
          <w:b/>
          <w:sz w:val="28"/>
          <w:szCs w:val="28"/>
        </w:rPr>
        <w:t>① 聚焦重点领域。</w:t>
      </w:r>
      <w:r>
        <w:rPr>
          <w:rFonts w:hint="eastAsia" w:ascii="仿宋" w:hAnsi="仿宋" w:eastAsia="仿宋" w:cs="仿宋"/>
          <w:bCs/>
          <w:sz w:val="28"/>
          <w:szCs w:val="28"/>
        </w:rPr>
        <w:t>对接国家战略性新兴产业和区域支柱产业，</w:t>
      </w:r>
      <w:r>
        <w:rPr>
          <w:rFonts w:ascii="仿宋" w:hAnsi="仿宋" w:eastAsia="仿宋" w:cs="仿宋"/>
          <w:bCs/>
          <w:sz w:val="28"/>
          <w:szCs w:val="28"/>
        </w:rPr>
        <w:t>注重推动专业发展和合作发展，</w:t>
      </w:r>
      <w:r>
        <w:rPr>
          <w:rFonts w:hint="eastAsia" w:ascii="仿宋" w:hAnsi="仿宋" w:eastAsia="仿宋" w:cs="仿宋"/>
          <w:bCs/>
          <w:sz w:val="28"/>
          <w:szCs w:val="28"/>
        </w:rPr>
        <w:t>服务区域经济，</w:t>
      </w:r>
      <w:r>
        <w:rPr>
          <w:rFonts w:ascii="仿宋" w:hAnsi="仿宋" w:eastAsia="仿宋" w:cs="仿宋"/>
          <w:bCs/>
          <w:sz w:val="28"/>
          <w:szCs w:val="28"/>
        </w:rPr>
        <w:t>实现区域一体化，强化网络协同</w:t>
      </w:r>
      <w:r>
        <w:rPr>
          <w:rFonts w:hint="eastAsia" w:ascii="仿宋" w:hAnsi="仿宋" w:eastAsia="仿宋" w:cs="仿宋"/>
          <w:bCs/>
          <w:sz w:val="28"/>
          <w:szCs w:val="28"/>
        </w:rPr>
        <w:t>。</w:t>
      </w:r>
    </w:p>
    <w:p>
      <w:pPr>
        <w:spacing w:line="540" w:lineRule="exact"/>
        <w:ind w:firstLine="562" w:firstLineChars="200"/>
        <w:rPr>
          <w:rFonts w:ascii="仿宋" w:hAnsi="仿宋" w:eastAsia="仿宋" w:cs="仿宋"/>
          <w:bCs/>
          <w:sz w:val="28"/>
          <w:szCs w:val="28"/>
        </w:rPr>
      </w:pPr>
      <w:r>
        <w:rPr>
          <w:rFonts w:hint="eastAsia" w:ascii="仿宋" w:hAnsi="仿宋" w:eastAsia="仿宋" w:cs="仿宋"/>
          <w:b/>
          <w:sz w:val="28"/>
          <w:szCs w:val="28"/>
        </w:rPr>
        <w:t>② 注重推动专业发展和合作发展。</w:t>
      </w:r>
      <w:r>
        <w:rPr>
          <w:rFonts w:hint="eastAsia" w:ascii="仿宋" w:hAnsi="仿宋" w:eastAsia="仿宋" w:cs="仿宋"/>
          <w:bCs/>
          <w:sz w:val="28"/>
          <w:szCs w:val="28"/>
        </w:rPr>
        <w:t>专业发展方面，结合本地产业规划布局、教育资源特征，建设符合本地实际需求、适应未来的开放型区域产教融合实践中心。合作发展方面，实践中心应包容并蓄、积极学习吸收同业先进经验，整合区域内的培训资源，形成集体优势，避免恶性竞争。</w:t>
      </w:r>
    </w:p>
    <w:p>
      <w:pPr>
        <w:spacing w:line="540" w:lineRule="exact"/>
        <w:ind w:firstLine="562" w:firstLineChars="200"/>
        <w:rPr>
          <w:rFonts w:ascii="仿宋" w:hAnsi="仿宋" w:eastAsia="仿宋" w:cs="仿宋"/>
          <w:b/>
          <w:bCs/>
          <w:sz w:val="28"/>
          <w:szCs w:val="28"/>
        </w:rPr>
      </w:pPr>
      <w:r>
        <w:rPr>
          <w:rFonts w:hint="eastAsia" w:ascii="仿宋" w:hAnsi="仿宋" w:eastAsia="仿宋" w:cs="仿宋"/>
          <w:b/>
          <w:sz w:val="28"/>
          <w:szCs w:val="28"/>
        </w:rPr>
        <w:t>③ 强化资源整合与能力提升。</w:t>
      </w:r>
      <w:r>
        <w:rPr>
          <w:rFonts w:hint="eastAsia" w:ascii="仿宋" w:hAnsi="仿宋" w:eastAsia="仿宋" w:cs="仿宋"/>
          <w:bCs/>
          <w:sz w:val="28"/>
          <w:szCs w:val="28"/>
        </w:rPr>
        <w:t>学校、企业以“校中厂”“厂中校”的方式共建实践中心，服务学生实习实训，企业员工培训、产品中试、工艺改进、技术研发等。</w:t>
      </w:r>
    </w:p>
    <w:p>
      <w:pPr>
        <w:spacing w:line="540" w:lineRule="exact"/>
        <w:ind w:firstLine="562" w:firstLineChars="200"/>
        <w:rPr>
          <w:rFonts w:ascii="仿宋" w:hAnsi="仿宋" w:eastAsia="仿宋"/>
          <w:b/>
          <w:bCs/>
          <w:sz w:val="28"/>
          <w:szCs w:val="28"/>
        </w:rPr>
      </w:pPr>
      <w:r>
        <w:rPr>
          <w:rFonts w:hint="eastAsia" w:ascii="仿宋" w:hAnsi="仿宋" w:eastAsia="仿宋"/>
          <w:b/>
          <w:bCs/>
          <w:sz w:val="28"/>
          <w:szCs w:val="28"/>
        </w:rPr>
        <w:t>（3）建设目标</w:t>
      </w:r>
    </w:p>
    <w:p>
      <w:pPr>
        <w:pStyle w:val="14"/>
        <w:widowControl/>
        <w:spacing w:line="540" w:lineRule="exact"/>
        <w:ind w:firstLine="560" w:firstLineChars="200"/>
        <w:rPr>
          <w:rFonts w:ascii="Calibri" w:hAnsi="Calibri" w:eastAsia="仿宋" w:cs="Calibri"/>
          <w:b/>
          <w:sz w:val="28"/>
          <w:szCs w:val="28"/>
        </w:rPr>
      </w:pPr>
      <w:r>
        <w:rPr>
          <w:rFonts w:hint="eastAsia" w:ascii="仿宋" w:hAnsi="仿宋" w:eastAsia="仿宋" w:cs="仿宋"/>
          <w:bCs/>
          <w:sz w:val="28"/>
          <w:szCs w:val="28"/>
        </w:rPr>
        <w:t>建设</w:t>
      </w:r>
      <w:r>
        <w:rPr>
          <w:rFonts w:ascii="仿宋" w:hAnsi="仿宋" w:eastAsia="仿宋" w:cs="仿宋"/>
          <w:bCs/>
          <w:sz w:val="28"/>
          <w:szCs w:val="28"/>
        </w:rPr>
        <w:t>集实践教学、</w:t>
      </w:r>
      <w:r>
        <w:rPr>
          <w:rFonts w:hint="eastAsia" w:ascii="仿宋" w:hAnsi="仿宋" w:eastAsia="仿宋" w:cs="仿宋"/>
          <w:bCs/>
          <w:sz w:val="28"/>
          <w:szCs w:val="28"/>
        </w:rPr>
        <w:t>职业培训、</w:t>
      </w:r>
      <w:r>
        <w:rPr>
          <w:rFonts w:ascii="仿宋" w:hAnsi="仿宋" w:eastAsia="仿宋" w:cs="仿宋"/>
          <w:bCs/>
          <w:sz w:val="28"/>
          <w:szCs w:val="28"/>
        </w:rPr>
        <w:t>社会培训、</w:t>
      </w:r>
      <w:r>
        <w:rPr>
          <w:rFonts w:hint="eastAsia" w:ascii="仿宋" w:hAnsi="仿宋" w:eastAsia="仿宋" w:cs="仿宋"/>
          <w:bCs/>
          <w:sz w:val="28"/>
          <w:szCs w:val="28"/>
        </w:rPr>
        <w:t>技能竞赛、</w:t>
      </w:r>
      <w:r>
        <w:rPr>
          <w:rFonts w:ascii="仿宋" w:hAnsi="仿宋" w:eastAsia="仿宋" w:cs="仿宋"/>
          <w:bCs/>
          <w:sz w:val="28"/>
          <w:szCs w:val="28"/>
        </w:rPr>
        <w:t>真实生产和技术服务功能为一体的实践中心，主要对接产业发展前沿，注重产教融合参与主体的多元化和包容性，强调参与过程的共建性和成果的共享性，以及凸显产教融合的产业供求匹配属性和有效发挥服务区域经济社会发展的功能</w:t>
      </w:r>
      <w:r>
        <w:rPr>
          <w:rFonts w:hint="eastAsia" w:ascii="仿宋" w:hAnsi="仿宋" w:eastAsia="仿宋" w:cs="仿宋"/>
          <w:bCs/>
          <w:sz w:val="28"/>
          <w:szCs w:val="28"/>
        </w:rPr>
        <w:t>的开放型区域产教融合实践中心</w:t>
      </w:r>
      <w:r>
        <w:rPr>
          <w:rFonts w:ascii="仿宋" w:hAnsi="仿宋" w:eastAsia="仿宋" w:cs="仿宋"/>
          <w:bCs/>
          <w:sz w:val="28"/>
          <w:szCs w:val="28"/>
        </w:rPr>
        <w:t>。</w:t>
      </w:r>
      <w:r>
        <w:rPr>
          <w:rFonts w:hint="eastAsia" w:ascii="仿宋" w:hAnsi="仿宋" w:eastAsia="仿宋" w:cs="仿宋"/>
          <w:bCs/>
          <w:sz w:val="28"/>
          <w:szCs w:val="28"/>
        </w:rPr>
        <w:t>2023-2025期间，规划建设12个开放型区域产教融合实践中心：智能终端产教融合实践中心、物联网产教融合实践中心</w:t>
      </w:r>
      <w:r>
        <w:rPr>
          <w:rFonts w:ascii="宋体" w:hAnsi="宋体" w:eastAsia="宋体" w:cs="宋体"/>
        </w:rPr>
        <w:t>、</w:t>
      </w:r>
      <w:r>
        <w:rPr>
          <w:rFonts w:hint="eastAsia" w:ascii="仿宋" w:hAnsi="仿宋" w:eastAsia="仿宋" w:cs="仿宋"/>
          <w:bCs/>
          <w:sz w:val="28"/>
          <w:szCs w:val="28"/>
        </w:rPr>
        <w:t>工业互联网产教融合实践中心、现代智能制造产教融合实践中心、智能新能源汽车产教融合实践中心、现代农业产教融合实践中心、惠州特色农产品精深加工产教融合实践中心、艺术设计产教融合实践中心、信息技术应用创</w:t>
      </w:r>
      <w:r>
        <w:rPr>
          <w:rFonts w:hint="eastAsia" w:ascii="仿宋" w:hAnsi="仿宋" w:eastAsia="仿宋" w:cs="仿宋"/>
          <w:bCs/>
          <w:sz w:val="28"/>
          <w:szCs w:val="28"/>
          <w:lang w:eastAsia="zh-CN"/>
        </w:rPr>
        <w:t>新产</w:t>
      </w:r>
      <w:r>
        <w:rPr>
          <w:rFonts w:hint="eastAsia" w:ascii="仿宋" w:hAnsi="仿宋" w:eastAsia="仿宋" w:cs="仿宋"/>
          <w:bCs/>
          <w:sz w:val="28"/>
          <w:szCs w:val="28"/>
        </w:rPr>
        <w:t>教融合实践中心、大数据技术产教融合实践中心、数字商贸产教融合示范基地、企业数字化转型服务协同创新产教融合实践中心的建设。</w:t>
      </w:r>
    </w:p>
    <w:p>
      <w:pPr>
        <w:spacing w:line="540" w:lineRule="exact"/>
        <w:ind w:firstLine="562" w:firstLineChars="200"/>
        <w:rPr>
          <w:rFonts w:ascii="仿宋" w:hAnsi="仿宋" w:eastAsia="仿宋"/>
          <w:b/>
          <w:bCs/>
          <w:sz w:val="28"/>
          <w:szCs w:val="28"/>
        </w:rPr>
      </w:pPr>
      <w:r>
        <w:rPr>
          <w:rFonts w:hint="eastAsia" w:ascii="仿宋" w:hAnsi="仿宋" w:eastAsia="仿宋"/>
          <w:b/>
          <w:bCs/>
          <w:sz w:val="28"/>
          <w:szCs w:val="28"/>
        </w:rPr>
        <w:t>（4）重点建设任务</w:t>
      </w:r>
    </w:p>
    <w:p>
      <w:pPr>
        <w:spacing w:line="540" w:lineRule="exact"/>
        <w:ind w:firstLine="562" w:firstLineChars="200"/>
        <w:rPr>
          <w:rFonts w:ascii="仿宋" w:hAnsi="仿宋" w:eastAsia="仿宋" w:cs="仿宋"/>
          <w:b/>
          <w:sz w:val="28"/>
          <w:szCs w:val="28"/>
        </w:rPr>
      </w:pPr>
      <w:r>
        <w:rPr>
          <w:rFonts w:hint="eastAsia" w:ascii="仿宋" w:hAnsi="仿宋" w:eastAsia="仿宋" w:cs="仿宋"/>
          <w:b/>
          <w:sz w:val="28"/>
          <w:szCs w:val="28"/>
        </w:rPr>
        <w:fldChar w:fldCharType="begin"/>
      </w:r>
      <w:r>
        <w:rPr>
          <w:rFonts w:hint="eastAsia" w:ascii="仿宋" w:hAnsi="仿宋" w:eastAsia="仿宋" w:cs="仿宋"/>
          <w:b/>
          <w:sz w:val="28"/>
          <w:szCs w:val="28"/>
        </w:rPr>
        <w:instrText xml:space="preserve"> = 1 \* GB3 </w:instrText>
      </w:r>
      <w:r>
        <w:rPr>
          <w:rFonts w:hint="eastAsia" w:ascii="仿宋" w:hAnsi="仿宋" w:eastAsia="仿宋" w:cs="仿宋"/>
          <w:b/>
          <w:sz w:val="28"/>
          <w:szCs w:val="28"/>
        </w:rPr>
        <w:fldChar w:fldCharType="separate"/>
      </w:r>
      <w:r>
        <w:rPr>
          <w:rFonts w:hint="eastAsia" w:ascii="仿宋" w:hAnsi="仿宋" w:eastAsia="仿宋" w:cs="仿宋"/>
          <w:b/>
          <w:sz w:val="28"/>
          <w:szCs w:val="28"/>
        </w:rPr>
        <w:t>①</w:t>
      </w:r>
      <w:r>
        <w:rPr>
          <w:rFonts w:hint="eastAsia" w:ascii="仿宋" w:hAnsi="仿宋" w:eastAsia="仿宋" w:cs="仿宋"/>
          <w:b/>
          <w:sz w:val="28"/>
          <w:szCs w:val="28"/>
        </w:rPr>
        <w:fldChar w:fldCharType="end"/>
      </w:r>
      <w:r>
        <w:rPr>
          <w:rFonts w:hint="eastAsia" w:ascii="仿宋" w:hAnsi="仿宋" w:eastAsia="仿宋" w:cs="仿宋"/>
          <w:b/>
          <w:sz w:val="28"/>
          <w:szCs w:val="28"/>
        </w:rPr>
        <w:t xml:space="preserve"> 对标国家和省厅开放型区域产教融合实践中心建设指南，学院以指南为指引积极建设与提升实训实践条件。</w:t>
      </w:r>
    </w:p>
    <w:p>
      <w:pPr>
        <w:spacing w:line="540" w:lineRule="exact"/>
        <w:ind w:firstLine="562" w:firstLineChars="200"/>
        <w:rPr>
          <w:rFonts w:ascii="仿宋" w:hAnsi="仿宋" w:eastAsia="仿宋" w:cs="仿宋"/>
          <w:bCs/>
          <w:sz w:val="28"/>
          <w:szCs w:val="28"/>
        </w:rPr>
      </w:pPr>
      <w:r>
        <w:rPr>
          <w:rFonts w:hint="eastAsia" w:ascii="仿宋" w:hAnsi="仿宋" w:eastAsia="仿宋" w:cs="仿宋"/>
          <w:b/>
          <w:sz w:val="28"/>
          <w:szCs w:val="28"/>
        </w:rPr>
        <w:t>② 资源整合与共享。</w:t>
      </w:r>
      <w:r>
        <w:rPr>
          <w:rFonts w:hint="eastAsia" w:ascii="仿宋" w:hAnsi="仿宋" w:eastAsia="仿宋" w:cs="仿宋"/>
          <w:bCs/>
          <w:sz w:val="28"/>
          <w:szCs w:val="28"/>
        </w:rPr>
        <w:t>整合区域内的教育资源、产业资源、科研资源等，实现资源共享。可以通过搭建资源共享平台、建立资源共享机制等方式，促进各类资源的有效整合和高效利用。</w:t>
      </w:r>
    </w:p>
    <w:p>
      <w:pPr>
        <w:spacing w:line="540" w:lineRule="exact"/>
        <w:ind w:firstLine="562" w:firstLineChars="200"/>
        <w:rPr>
          <w:rFonts w:ascii="仿宋" w:hAnsi="仿宋" w:eastAsia="仿宋" w:cs="仿宋"/>
          <w:bCs/>
          <w:sz w:val="28"/>
          <w:szCs w:val="28"/>
        </w:rPr>
      </w:pPr>
      <w:r>
        <w:rPr>
          <w:rFonts w:hint="eastAsia" w:ascii="仿宋" w:hAnsi="仿宋" w:eastAsia="仿宋" w:cs="仿宋"/>
          <w:b/>
          <w:sz w:val="28"/>
          <w:szCs w:val="28"/>
        </w:rPr>
        <w:t>③ 校企合作与产教融合。</w:t>
      </w:r>
      <w:r>
        <w:rPr>
          <w:rFonts w:hint="eastAsia" w:ascii="仿宋" w:hAnsi="仿宋" w:eastAsia="仿宋" w:cs="仿宋"/>
          <w:bCs/>
          <w:sz w:val="28"/>
          <w:szCs w:val="28"/>
        </w:rPr>
        <w:t>通过与企业合作共建实训基地、开展联合培养、技术研发等方式，将实践教学与产业发展紧密结合，提高人才培养的针对性和实效性。积极推动校企合作，实现产教融合。</w:t>
      </w:r>
    </w:p>
    <w:p>
      <w:pPr>
        <w:spacing w:line="540" w:lineRule="exact"/>
        <w:ind w:firstLine="562" w:firstLineChars="200"/>
        <w:rPr>
          <w:rFonts w:ascii="仿宋" w:hAnsi="仿宋" w:eastAsia="仿宋" w:cs="仿宋"/>
          <w:bCs/>
          <w:sz w:val="28"/>
          <w:szCs w:val="28"/>
        </w:rPr>
      </w:pPr>
      <w:r>
        <w:rPr>
          <w:rFonts w:hint="eastAsia" w:ascii="仿宋" w:hAnsi="仿宋" w:eastAsia="仿宋" w:cs="仿宋"/>
          <w:b/>
          <w:sz w:val="28"/>
          <w:szCs w:val="28"/>
        </w:rPr>
        <w:t>④ 体制机制创新。</w:t>
      </w:r>
      <w:r>
        <w:rPr>
          <w:rFonts w:hint="eastAsia" w:ascii="仿宋" w:hAnsi="仿宋" w:eastAsia="仿宋" w:cs="仿宋"/>
          <w:bCs/>
          <w:sz w:val="28"/>
          <w:szCs w:val="28"/>
        </w:rPr>
        <w:t>创新体制机制，打破传统的管理模式和运行方式。</w:t>
      </w:r>
    </w:p>
    <w:p>
      <w:pPr>
        <w:spacing w:line="540" w:lineRule="exact"/>
        <w:ind w:firstLine="562" w:firstLineChars="200"/>
        <w:rPr>
          <w:rFonts w:ascii="仿宋" w:hAnsi="仿宋" w:eastAsia="仿宋" w:cs="仿宋"/>
          <w:bCs/>
          <w:sz w:val="28"/>
          <w:szCs w:val="28"/>
        </w:rPr>
      </w:pPr>
      <w:r>
        <w:rPr>
          <w:rFonts w:hint="eastAsia" w:ascii="仿宋" w:hAnsi="仿宋" w:eastAsia="仿宋" w:cs="仿宋"/>
          <w:b/>
          <w:sz w:val="28"/>
          <w:szCs w:val="28"/>
        </w:rPr>
        <w:t>⑤ 人才培养与社会服务。</w:t>
      </w:r>
      <w:r>
        <w:rPr>
          <w:rFonts w:hint="eastAsia" w:ascii="仿宋" w:hAnsi="仿宋" w:eastAsia="仿宋" w:cs="仿宋"/>
          <w:bCs/>
          <w:sz w:val="28"/>
          <w:szCs w:val="28"/>
        </w:rPr>
        <w:t>注重人才培养和社会服务功能的发挥。通过开展实践教学、技能培训、技术研发等方式，提高人才培养质量，同时为企业提供技术支持和服务，推动区域经济的发展。</w:t>
      </w:r>
    </w:p>
    <w:p>
      <w:pPr>
        <w:spacing w:line="540" w:lineRule="exact"/>
        <w:ind w:firstLine="562" w:firstLineChars="200"/>
        <w:rPr>
          <w:rFonts w:ascii="仿宋" w:hAnsi="仿宋" w:eastAsia="仿宋"/>
          <w:b/>
          <w:bCs/>
          <w:sz w:val="28"/>
          <w:szCs w:val="28"/>
        </w:rPr>
      </w:pPr>
      <w:r>
        <w:rPr>
          <w:rFonts w:hint="eastAsia" w:ascii="仿宋" w:hAnsi="仿宋" w:eastAsia="仿宋"/>
          <w:b/>
          <w:bCs/>
          <w:sz w:val="28"/>
          <w:szCs w:val="28"/>
        </w:rPr>
        <w:t>（5）建设计划</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5"/>
        <w:gridCol w:w="2035"/>
        <w:gridCol w:w="3541"/>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5" w:type="dxa"/>
            <w:shd w:val="clear" w:color="auto" w:fill="4874CB" w:themeFill="accent1"/>
            <w:vAlign w:val="center"/>
          </w:tcPr>
          <w:p>
            <w:pPr>
              <w:widowControl/>
              <w:topLinePunct/>
              <w:spacing w:line="560" w:lineRule="exact"/>
              <w:jc w:val="center"/>
              <w:rPr>
                <w:rFonts w:ascii="仿宋" w:hAnsi="仿宋" w:eastAsia="仿宋" w:cs="仿宋"/>
                <w:b/>
                <w:bCs/>
                <w:kern w:val="0"/>
                <w:szCs w:val="21"/>
                <w:lang w:eastAsia="en-US"/>
              </w:rPr>
            </w:pPr>
            <w:r>
              <w:rPr>
                <w:rFonts w:hint="eastAsia" w:ascii="仿宋" w:hAnsi="仿宋" w:eastAsia="仿宋" w:cs="仿宋"/>
                <w:b/>
                <w:bCs/>
                <w:kern w:val="0"/>
                <w:szCs w:val="21"/>
                <w:lang w:eastAsia="en-US"/>
              </w:rPr>
              <w:t>年度</w:t>
            </w:r>
          </w:p>
        </w:tc>
        <w:tc>
          <w:tcPr>
            <w:tcW w:w="2035" w:type="dxa"/>
            <w:shd w:val="clear" w:color="auto" w:fill="4874CB" w:themeFill="accent1"/>
            <w:vAlign w:val="center"/>
          </w:tcPr>
          <w:p>
            <w:pPr>
              <w:widowControl/>
              <w:topLinePunct/>
              <w:spacing w:line="560" w:lineRule="exact"/>
              <w:jc w:val="center"/>
              <w:rPr>
                <w:rFonts w:ascii="仿宋" w:hAnsi="仿宋" w:eastAsia="仿宋" w:cs="仿宋"/>
                <w:b/>
                <w:bCs/>
                <w:kern w:val="0"/>
                <w:szCs w:val="21"/>
                <w:lang w:eastAsia="en-US"/>
              </w:rPr>
            </w:pPr>
            <w:r>
              <w:rPr>
                <w:rFonts w:hint="eastAsia" w:ascii="仿宋" w:hAnsi="仿宋" w:eastAsia="仿宋" w:cs="仿宋"/>
                <w:b/>
                <w:bCs/>
                <w:kern w:val="0"/>
                <w:szCs w:val="21"/>
                <w:lang w:eastAsia="en-US"/>
              </w:rPr>
              <w:t>建设任务</w:t>
            </w:r>
          </w:p>
        </w:tc>
        <w:tc>
          <w:tcPr>
            <w:tcW w:w="3541" w:type="dxa"/>
            <w:shd w:val="clear" w:color="auto" w:fill="4874CB" w:themeFill="accent1"/>
            <w:vAlign w:val="center"/>
          </w:tcPr>
          <w:p>
            <w:pPr>
              <w:widowControl/>
              <w:topLinePunct/>
              <w:spacing w:line="560" w:lineRule="exact"/>
              <w:jc w:val="center"/>
              <w:rPr>
                <w:rFonts w:ascii="仿宋" w:hAnsi="仿宋" w:eastAsia="仿宋" w:cs="仿宋"/>
                <w:b/>
                <w:bCs/>
                <w:kern w:val="0"/>
                <w:szCs w:val="21"/>
                <w:lang w:eastAsia="en-US"/>
              </w:rPr>
            </w:pPr>
            <w:r>
              <w:rPr>
                <w:rFonts w:hint="eastAsia" w:ascii="仿宋" w:hAnsi="仿宋" w:eastAsia="仿宋" w:cs="仿宋"/>
                <w:b/>
                <w:bCs/>
                <w:kern w:val="0"/>
                <w:szCs w:val="21"/>
                <w:lang w:eastAsia="en-US"/>
              </w:rPr>
              <w:t>建设内容</w:t>
            </w:r>
          </w:p>
        </w:tc>
        <w:tc>
          <w:tcPr>
            <w:tcW w:w="1559" w:type="dxa"/>
            <w:shd w:val="clear" w:color="auto" w:fill="4874CB" w:themeFill="accent1"/>
            <w:vAlign w:val="center"/>
          </w:tcPr>
          <w:p>
            <w:pPr>
              <w:widowControl/>
              <w:topLinePunct/>
              <w:spacing w:line="560" w:lineRule="exact"/>
              <w:jc w:val="center"/>
              <w:rPr>
                <w:rFonts w:ascii="仿宋" w:hAnsi="仿宋" w:eastAsia="仿宋" w:cs="仿宋"/>
                <w:b/>
                <w:bCs/>
                <w:kern w:val="0"/>
                <w:szCs w:val="21"/>
                <w:lang w:eastAsia="en-US"/>
              </w:rPr>
            </w:pPr>
            <w:r>
              <w:rPr>
                <w:rFonts w:hint="eastAsia" w:ascii="仿宋" w:hAnsi="仿宋" w:eastAsia="仿宋" w:cs="仿宋"/>
                <w:b/>
                <w:bCs/>
                <w:kern w:val="0"/>
                <w:szCs w:val="21"/>
                <w:lang w:eastAsia="en-US"/>
              </w:rPr>
              <w:t>负责部门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5" w:type="dxa"/>
            <w:vMerge w:val="restart"/>
            <w:vAlign w:val="center"/>
          </w:tcPr>
          <w:p>
            <w:pPr>
              <w:jc w:val="center"/>
              <w:rPr>
                <w:rFonts w:ascii="仿宋" w:hAnsi="仿宋" w:eastAsia="仿宋" w:cs="仿宋"/>
                <w:b/>
                <w:szCs w:val="21"/>
              </w:rPr>
            </w:pPr>
            <w:r>
              <w:rPr>
                <w:rFonts w:hint="eastAsia" w:ascii="仿宋" w:hAnsi="仿宋" w:eastAsia="仿宋" w:cs="仿宋"/>
                <w:b/>
                <w:szCs w:val="21"/>
              </w:rPr>
              <w:t>2023</w:t>
            </w:r>
          </w:p>
        </w:tc>
        <w:tc>
          <w:tcPr>
            <w:tcW w:w="2035" w:type="dxa"/>
            <w:vAlign w:val="center"/>
          </w:tcPr>
          <w:p>
            <w:pPr>
              <w:jc w:val="center"/>
              <w:rPr>
                <w:rFonts w:ascii="仿宋" w:hAnsi="仿宋" w:eastAsia="仿宋" w:cs="仿宋"/>
                <w:bCs/>
                <w:szCs w:val="21"/>
              </w:rPr>
            </w:pPr>
            <w:r>
              <w:rPr>
                <w:rFonts w:hint="eastAsia" w:ascii="仿宋" w:hAnsi="仿宋" w:eastAsia="仿宋" w:cs="仿宋"/>
                <w:bCs/>
                <w:szCs w:val="21"/>
              </w:rPr>
              <w:t>现代智能制造产教融合实践中心</w:t>
            </w:r>
          </w:p>
        </w:tc>
        <w:tc>
          <w:tcPr>
            <w:tcW w:w="3541" w:type="dxa"/>
            <w:vAlign w:val="center"/>
          </w:tcPr>
          <w:p>
            <w:pPr>
              <w:rPr>
                <w:rFonts w:ascii="仿宋" w:hAnsi="仿宋" w:eastAsia="仿宋" w:cs="仿宋"/>
                <w:bCs/>
                <w:szCs w:val="21"/>
              </w:rPr>
            </w:pPr>
            <w:r>
              <w:rPr>
                <w:rFonts w:hint="eastAsia" w:ascii="仿宋" w:hAnsi="仿宋" w:eastAsia="仿宋" w:cs="仿宋"/>
                <w:bCs/>
                <w:szCs w:val="21"/>
              </w:rPr>
              <w:t>智能网联汽车基础实训中心；智能传感器实训及资源开发创新中心</w:t>
            </w:r>
          </w:p>
        </w:tc>
        <w:tc>
          <w:tcPr>
            <w:tcW w:w="1559" w:type="dxa"/>
            <w:vAlign w:val="center"/>
          </w:tcPr>
          <w:p>
            <w:pPr>
              <w:jc w:val="center"/>
              <w:rPr>
                <w:rFonts w:ascii="仿宋" w:hAnsi="仿宋" w:eastAsia="仿宋" w:cs="仿宋"/>
                <w:bCs/>
                <w:szCs w:val="21"/>
              </w:rPr>
            </w:pPr>
            <w:r>
              <w:rPr>
                <w:rFonts w:hint="eastAsia" w:ascii="仿宋" w:hAnsi="仿宋" w:eastAsia="仿宋" w:cs="仿宋"/>
                <w:bCs/>
                <w:szCs w:val="21"/>
              </w:rPr>
              <w:t>实验室管理中心及机电工程学院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5" w:type="dxa"/>
            <w:vMerge w:val="continue"/>
            <w:vAlign w:val="center"/>
          </w:tcPr>
          <w:p>
            <w:pPr>
              <w:jc w:val="center"/>
              <w:rPr>
                <w:rFonts w:ascii="仿宋" w:hAnsi="仿宋" w:eastAsia="仿宋" w:cs="仿宋"/>
                <w:b/>
                <w:szCs w:val="21"/>
              </w:rPr>
            </w:pPr>
          </w:p>
        </w:tc>
        <w:tc>
          <w:tcPr>
            <w:tcW w:w="2035" w:type="dxa"/>
            <w:vAlign w:val="center"/>
          </w:tcPr>
          <w:p>
            <w:pPr>
              <w:jc w:val="center"/>
              <w:rPr>
                <w:rFonts w:ascii="仿宋" w:hAnsi="仿宋" w:eastAsia="仿宋" w:cs="仿宋"/>
                <w:bCs/>
                <w:szCs w:val="21"/>
              </w:rPr>
            </w:pPr>
            <w:r>
              <w:rPr>
                <w:rFonts w:hint="eastAsia" w:ascii="仿宋" w:hAnsi="仿宋" w:eastAsia="仿宋" w:cs="仿宋"/>
                <w:bCs/>
                <w:szCs w:val="21"/>
              </w:rPr>
              <w:t>专业群建设（TCL产业学院）</w:t>
            </w:r>
          </w:p>
        </w:tc>
        <w:tc>
          <w:tcPr>
            <w:tcW w:w="3541" w:type="dxa"/>
            <w:vAlign w:val="center"/>
          </w:tcPr>
          <w:p>
            <w:pPr>
              <w:rPr>
                <w:rFonts w:ascii="仿宋" w:hAnsi="仿宋" w:eastAsia="仿宋" w:cs="仿宋"/>
                <w:bCs/>
                <w:szCs w:val="21"/>
              </w:rPr>
            </w:pPr>
            <w:r>
              <w:rPr>
                <w:rFonts w:hint="eastAsia" w:ascii="仿宋" w:hAnsi="仿宋" w:eastAsia="仿宋" w:cs="仿宋"/>
                <w:bCs/>
                <w:szCs w:val="21"/>
              </w:rPr>
              <w:t>建成信息通信网络终端维修员实训基地1间，具体包括信息通信网络终端维修员培训基地、考核站点、师培基地以及《智能终端产品调试与维修》1+X 证书考训站点的建设。已进行3期513人次的1+X证书考核，2期师资培训。</w:t>
            </w:r>
          </w:p>
        </w:tc>
        <w:tc>
          <w:tcPr>
            <w:tcW w:w="1559" w:type="dxa"/>
            <w:vAlign w:val="center"/>
          </w:tcPr>
          <w:p>
            <w:pPr>
              <w:jc w:val="center"/>
              <w:rPr>
                <w:rFonts w:ascii="仿宋" w:hAnsi="仿宋" w:eastAsia="仿宋" w:cs="仿宋"/>
                <w:bCs/>
                <w:szCs w:val="21"/>
              </w:rPr>
            </w:pPr>
            <w:r>
              <w:rPr>
                <w:rFonts w:hint="eastAsia" w:ascii="仿宋" w:hAnsi="仿宋" w:eastAsia="仿宋" w:cs="仿宋"/>
                <w:bCs/>
                <w:szCs w:val="21"/>
              </w:rPr>
              <w:t>实验室管理中心及智能工程学院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5" w:type="dxa"/>
            <w:vMerge w:val="continue"/>
            <w:vAlign w:val="center"/>
          </w:tcPr>
          <w:p>
            <w:pPr>
              <w:jc w:val="center"/>
              <w:rPr>
                <w:rFonts w:ascii="仿宋" w:hAnsi="仿宋" w:eastAsia="仿宋" w:cs="仿宋"/>
                <w:b/>
                <w:szCs w:val="21"/>
              </w:rPr>
            </w:pPr>
          </w:p>
        </w:tc>
        <w:tc>
          <w:tcPr>
            <w:tcW w:w="2035" w:type="dxa"/>
            <w:vAlign w:val="center"/>
          </w:tcPr>
          <w:p>
            <w:pPr>
              <w:jc w:val="center"/>
              <w:rPr>
                <w:rFonts w:ascii="仿宋" w:hAnsi="仿宋" w:eastAsia="仿宋" w:cs="仿宋"/>
                <w:bCs/>
                <w:szCs w:val="21"/>
              </w:rPr>
            </w:pPr>
            <w:r>
              <w:rPr>
                <w:rFonts w:hint="eastAsia" w:ascii="仿宋" w:hAnsi="仿宋" w:eastAsia="仿宋" w:cs="仿宋"/>
                <w:bCs/>
                <w:szCs w:val="21"/>
              </w:rPr>
              <w:t>艺术设计产教融合实践中心</w:t>
            </w:r>
          </w:p>
        </w:tc>
        <w:tc>
          <w:tcPr>
            <w:tcW w:w="3541" w:type="dxa"/>
            <w:vAlign w:val="center"/>
          </w:tcPr>
          <w:p>
            <w:pPr>
              <w:rPr>
                <w:rFonts w:ascii="仿宋" w:hAnsi="仿宋" w:eastAsia="仿宋" w:cs="仿宋"/>
                <w:bCs/>
                <w:szCs w:val="21"/>
              </w:rPr>
            </w:pPr>
            <w:r>
              <w:rPr>
                <w:rFonts w:hint="eastAsia" w:ascii="仿宋" w:hAnsi="仿宋" w:eastAsia="仿宋" w:cs="仿宋"/>
                <w:bCs/>
                <w:szCs w:val="21"/>
              </w:rPr>
              <w:t>完善数字媒体艺术设计的虚拟实验室</w:t>
            </w:r>
          </w:p>
        </w:tc>
        <w:tc>
          <w:tcPr>
            <w:tcW w:w="1559" w:type="dxa"/>
            <w:vAlign w:val="center"/>
          </w:tcPr>
          <w:p>
            <w:pPr>
              <w:jc w:val="center"/>
              <w:rPr>
                <w:rFonts w:ascii="仿宋" w:hAnsi="仿宋" w:eastAsia="仿宋" w:cs="仿宋"/>
                <w:bCs/>
                <w:szCs w:val="21"/>
              </w:rPr>
            </w:pPr>
            <w:r>
              <w:rPr>
                <w:rFonts w:hint="eastAsia" w:ascii="仿宋" w:hAnsi="仿宋" w:eastAsia="仿宋" w:cs="仿宋"/>
                <w:bCs/>
                <w:szCs w:val="21"/>
              </w:rPr>
              <w:t>实验室管理中心及信息工程学院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5" w:type="dxa"/>
            <w:vMerge w:val="continue"/>
            <w:vAlign w:val="center"/>
          </w:tcPr>
          <w:p>
            <w:pPr>
              <w:jc w:val="center"/>
              <w:rPr>
                <w:rFonts w:ascii="仿宋" w:hAnsi="仿宋" w:eastAsia="仿宋" w:cs="仿宋"/>
                <w:b/>
                <w:szCs w:val="21"/>
              </w:rPr>
            </w:pPr>
          </w:p>
        </w:tc>
        <w:tc>
          <w:tcPr>
            <w:tcW w:w="2035" w:type="dxa"/>
            <w:vAlign w:val="center"/>
          </w:tcPr>
          <w:p>
            <w:pPr>
              <w:jc w:val="center"/>
              <w:rPr>
                <w:rFonts w:ascii="仿宋" w:hAnsi="仿宋" w:eastAsia="仿宋" w:cs="仿宋"/>
                <w:bCs/>
                <w:szCs w:val="21"/>
              </w:rPr>
            </w:pPr>
            <w:r>
              <w:rPr>
                <w:rFonts w:hint="eastAsia" w:ascii="仿宋" w:hAnsi="仿宋" w:eastAsia="仿宋" w:cs="仿宋"/>
                <w:bCs/>
                <w:szCs w:val="21"/>
              </w:rPr>
              <w:t>现代农业产教融合实践中心</w:t>
            </w:r>
          </w:p>
        </w:tc>
        <w:tc>
          <w:tcPr>
            <w:tcW w:w="3541" w:type="dxa"/>
            <w:vAlign w:val="center"/>
          </w:tcPr>
          <w:p>
            <w:pPr>
              <w:rPr>
                <w:rFonts w:ascii="仿宋" w:hAnsi="仿宋" w:eastAsia="仿宋" w:cs="仿宋"/>
                <w:bCs/>
                <w:szCs w:val="21"/>
              </w:rPr>
            </w:pPr>
            <w:r>
              <w:rPr>
                <w:rFonts w:hint="eastAsia" w:ascii="仿宋" w:hAnsi="仿宋" w:eastAsia="仿宋" w:cs="仿宋"/>
                <w:bCs/>
                <w:szCs w:val="21"/>
              </w:rPr>
              <w:t>提升改造智慧园艺大棚；建设园林工程施工实训室1间；建设专业计算机绘图室1间；建设专业制图室1间；提升改造现代农业教学场所环境设施项目</w:t>
            </w:r>
          </w:p>
        </w:tc>
        <w:tc>
          <w:tcPr>
            <w:tcW w:w="1559" w:type="dxa"/>
            <w:vAlign w:val="center"/>
          </w:tcPr>
          <w:p>
            <w:pPr>
              <w:jc w:val="center"/>
              <w:rPr>
                <w:rFonts w:ascii="仿宋" w:hAnsi="仿宋" w:eastAsia="仿宋" w:cs="仿宋"/>
                <w:bCs/>
                <w:szCs w:val="21"/>
              </w:rPr>
            </w:pPr>
            <w:r>
              <w:rPr>
                <w:rFonts w:hint="eastAsia" w:ascii="仿宋" w:hAnsi="仿宋" w:eastAsia="仿宋" w:cs="仿宋"/>
                <w:bCs/>
                <w:szCs w:val="21"/>
              </w:rPr>
              <w:t>实验室管理中心及生态工程学院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jc w:val="center"/>
        </w:trPr>
        <w:tc>
          <w:tcPr>
            <w:tcW w:w="1195" w:type="dxa"/>
            <w:vMerge w:val="continue"/>
            <w:vAlign w:val="center"/>
          </w:tcPr>
          <w:p>
            <w:pPr>
              <w:jc w:val="center"/>
              <w:rPr>
                <w:rFonts w:ascii="仿宋" w:hAnsi="仿宋" w:eastAsia="仿宋" w:cs="仿宋"/>
                <w:b/>
                <w:szCs w:val="21"/>
              </w:rPr>
            </w:pPr>
          </w:p>
        </w:tc>
        <w:tc>
          <w:tcPr>
            <w:tcW w:w="2035" w:type="dxa"/>
            <w:vAlign w:val="center"/>
          </w:tcPr>
          <w:p>
            <w:pPr>
              <w:jc w:val="center"/>
              <w:rPr>
                <w:rFonts w:ascii="仿宋" w:hAnsi="仿宋" w:eastAsia="仿宋" w:cs="仿宋"/>
                <w:bCs/>
                <w:szCs w:val="21"/>
              </w:rPr>
            </w:pPr>
            <w:r>
              <w:rPr>
                <w:rFonts w:hint="eastAsia" w:ascii="仿宋" w:hAnsi="仿宋" w:eastAsia="仿宋" w:cs="仿宋"/>
                <w:bCs/>
                <w:szCs w:val="21"/>
              </w:rPr>
              <w:t>数字产业学院一期</w:t>
            </w:r>
          </w:p>
        </w:tc>
        <w:tc>
          <w:tcPr>
            <w:tcW w:w="3541" w:type="dxa"/>
            <w:vAlign w:val="center"/>
          </w:tcPr>
          <w:p>
            <w:pPr>
              <w:rPr>
                <w:rFonts w:ascii="仿宋" w:hAnsi="仿宋" w:eastAsia="仿宋" w:cs="仿宋"/>
                <w:bCs/>
                <w:szCs w:val="21"/>
              </w:rPr>
            </w:pPr>
            <w:r>
              <w:rPr>
                <w:rFonts w:hint="eastAsia" w:ascii="仿宋" w:hAnsi="仿宋" w:eastAsia="仿宋" w:cs="仿宋"/>
                <w:bCs/>
                <w:szCs w:val="21"/>
              </w:rPr>
              <w:t>数字产业学院一期项目，建设数字产业学院管理平台，开发新型教材，完善和新建校级精品在线开放课程，搭建信创适合人才赛训平台、智能互联赛训平台、融媒体内容制作平台，开展企业导师、校内教师的师资培训项目，校内投入247万元。</w:t>
            </w:r>
          </w:p>
        </w:tc>
        <w:tc>
          <w:tcPr>
            <w:tcW w:w="1559" w:type="dxa"/>
            <w:vAlign w:val="center"/>
          </w:tcPr>
          <w:p>
            <w:pPr>
              <w:jc w:val="center"/>
              <w:rPr>
                <w:rFonts w:ascii="仿宋" w:hAnsi="仿宋" w:eastAsia="仿宋" w:cs="仿宋"/>
                <w:bCs/>
                <w:szCs w:val="21"/>
              </w:rPr>
            </w:pPr>
            <w:r>
              <w:rPr>
                <w:rFonts w:hint="eastAsia" w:ascii="仿宋" w:hAnsi="仿宋" w:eastAsia="仿宋" w:cs="仿宋"/>
                <w:bCs/>
                <w:szCs w:val="21"/>
              </w:rPr>
              <w:t>教务处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jc w:val="center"/>
        </w:trPr>
        <w:tc>
          <w:tcPr>
            <w:tcW w:w="1195" w:type="dxa"/>
            <w:vMerge w:val="restart"/>
            <w:vAlign w:val="center"/>
          </w:tcPr>
          <w:p>
            <w:pPr>
              <w:jc w:val="center"/>
              <w:rPr>
                <w:rFonts w:ascii="仿宋" w:hAnsi="仿宋" w:eastAsia="仿宋" w:cs="仿宋"/>
                <w:b/>
                <w:szCs w:val="21"/>
              </w:rPr>
            </w:pPr>
            <w:r>
              <w:rPr>
                <w:rFonts w:hint="eastAsia" w:ascii="仿宋" w:hAnsi="仿宋" w:eastAsia="仿宋" w:cs="仿宋"/>
                <w:b/>
                <w:szCs w:val="21"/>
              </w:rPr>
              <w:t>2024</w:t>
            </w:r>
          </w:p>
        </w:tc>
        <w:tc>
          <w:tcPr>
            <w:tcW w:w="2035" w:type="dxa"/>
            <w:vAlign w:val="center"/>
          </w:tcPr>
          <w:p>
            <w:pPr>
              <w:jc w:val="center"/>
              <w:rPr>
                <w:rFonts w:ascii="仿宋" w:hAnsi="仿宋" w:eastAsia="仿宋" w:cs="仿宋"/>
                <w:bCs/>
                <w:szCs w:val="21"/>
              </w:rPr>
            </w:pPr>
            <w:r>
              <w:rPr>
                <w:rFonts w:hint="eastAsia" w:ascii="仿宋" w:hAnsi="仿宋" w:eastAsia="仿宋" w:cs="仿宋"/>
                <w:bCs/>
                <w:szCs w:val="21"/>
              </w:rPr>
              <w:t>现代智能制造产教融合实践中心二期</w:t>
            </w:r>
          </w:p>
        </w:tc>
        <w:tc>
          <w:tcPr>
            <w:tcW w:w="3541" w:type="dxa"/>
            <w:vAlign w:val="center"/>
          </w:tcPr>
          <w:p>
            <w:pPr>
              <w:rPr>
                <w:rFonts w:ascii="仿宋" w:hAnsi="仿宋" w:eastAsia="仿宋" w:cs="仿宋"/>
                <w:bCs/>
                <w:szCs w:val="21"/>
              </w:rPr>
            </w:pPr>
            <w:r>
              <w:rPr>
                <w:rFonts w:hint="eastAsia" w:ascii="仿宋" w:hAnsi="仿宋" w:eastAsia="仿宋" w:cs="仿宋"/>
                <w:bCs/>
                <w:szCs w:val="21"/>
              </w:rPr>
              <w:t>智能座舱实训及资源开发创新中心；钳工实训室，计算机辅助实验室</w:t>
            </w:r>
          </w:p>
        </w:tc>
        <w:tc>
          <w:tcPr>
            <w:tcW w:w="1559" w:type="dxa"/>
            <w:vAlign w:val="center"/>
          </w:tcPr>
          <w:p>
            <w:pPr>
              <w:jc w:val="center"/>
              <w:rPr>
                <w:rFonts w:ascii="仿宋" w:hAnsi="仿宋" w:eastAsia="仿宋" w:cs="仿宋"/>
                <w:bCs/>
                <w:szCs w:val="21"/>
              </w:rPr>
            </w:pPr>
            <w:r>
              <w:rPr>
                <w:rFonts w:hint="eastAsia" w:ascii="仿宋" w:hAnsi="仿宋" w:eastAsia="仿宋" w:cs="仿宋"/>
                <w:bCs/>
                <w:szCs w:val="21"/>
              </w:rPr>
              <w:t>实验室管理中心及二级学院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jc w:val="center"/>
        </w:trPr>
        <w:tc>
          <w:tcPr>
            <w:tcW w:w="1195" w:type="dxa"/>
            <w:vMerge w:val="continue"/>
            <w:vAlign w:val="center"/>
          </w:tcPr>
          <w:p>
            <w:pPr>
              <w:jc w:val="center"/>
              <w:rPr>
                <w:rFonts w:ascii="仿宋" w:hAnsi="仿宋" w:eastAsia="仿宋" w:cs="仿宋"/>
                <w:b/>
                <w:szCs w:val="21"/>
              </w:rPr>
            </w:pPr>
          </w:p>
        </w:tc>
        <w:tc>
          <w:tcPr>
            <w:tcW w:w="2035" w:type="dxa"/>
            <w:vAlign w:val="center"/>
          </w:tcPr>
          <w:p>
            <w:pPr>
              <w:jc w:val="center"/>
              <w:rPr>
                <w:rFonts w:ascii="仿宋" w:hAnsi="仿宋" w:eastAsia="仿宋" w:cs="仿宋"/>
                <w:bCs/>
                <w:szCs w:val="21"/>
              </w:rPr>
            </w:pPr>
            <w:r>
              <w:rPr>
                <w:rFonts w:hint="eastAsia" w:ascii="仿宋" w:hAnsi="仿宋" w:eastAsia="仿宋" w:cs="仿宋"/>
                <w:bCs/>
                <w:szCs w:val="21"/>
              </w:rPr>
              <w:t>智能终端产教融合实践中心，TCL产业学院建设</w:t>
            </w:r>
          </w:p>
        </w:tc>
        <w:tc>
          <w:tcPr>
            <w:tcW w:w="3541" w:type="dxa"/>
            <w:vAlign w:val="center"/>
          </w:tcPr>
          <w:p>
            <w:pPr>
              <w:rPr>
                <w:rFonts w:ascii="仿宋" w:hAnsi="仿宋" w:eastAsia="仿宋" w:cs="仿宋"/>
                <w:bCs/>
                <w:szCs w:val="21"/>
              </w:rPr>
            </w:pPr>
            <w:r>
              <w:rPr>
                <w:rFonts w:hint="eastAsia" w:ascii="仿宋" w:hAnsi="仿宋" w:eastAsia="仿宋" w:cs="仿宋"/>
                <w:bCs/>
                <w:szCs w:val="21"/>
              </w:rPr>
              <w:t>智能制造PLC综合技术实训室；数字孪生智能制造虚拟仿真平台（工业互联网方向）；无人机外场实训场地</w:t>
            </w:r>
          </w:p>
        </w:tc>
        <w:tc>
          <w:tcPr>
            <w:tcW w:w="1559" w:type="dxa"/>
            <w:vAlign w:val="center"/>
          </w:tcPr>
          <w:p>
            <w:pPr>
              <w:jc w:val="center"/>
              <w:rPr>
                <w:rFonts w:ascii="仿宋" w:hAnsi="仿宋" w:eastAsia="仿宋" w:cs="仿宋"/>
                <w:bCs/>
                <w:szCs w:val="21"/>
              </w:rPr>
            </w:pPr>
            <w:r>
              <w:rPr>
                <w:rFonts w:hint="eastAsia" w:ascii="仿宋" w:hAnsi="仿宋" w:eastAsia="仿宋" w:cs="仿宋"/>
                <w:bCs/>
                <w:szCs w:val="21"/>
              </w:rPr>
              <w:t>实验室管理中心及二级学院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5" w:type="dxa"/>
            <w:vMerge w:val="continue"/>
            <w:vAlign w:val="center"/>
          </w:tcPr>
          <w:p>
            <w:pPr>
              <w:jc w:val="center"/>
              <w:rPr>
                <w:rFonts w:ascii="仿宋" w:hAnsi="仿宋" w:eastAsia="仿宋" w:cs="仿宋"/>
                <w:b/>
                <w:szCs w:val="21"/>
              </w:rPr>
            </w:pPr>
          </w:p>
        </w:tc>
        <w:tc>
          <w:tcPr>
            <w:tcW w:w="2035" w:type="dxa"/>
            <w:vAlign w:val="center"/>
          </w:tcPr>
          <w:p>
            <w:pPr>
              <w:jc w:val="center"/>
              <w:rPr>
                <w:rFonts w:ascii="仿宋" w:hAnsi="仿宋" w:eastAsia="仿宋" w:cs="仿宋"/>
                <w:bCs/>
                <w:szCs w:val="21"/>
              </w:rPr>
            </w:pPr>
            <w:r>
              <w:rPr>
                <w:rFonts w:hint="eastAsia" w:ascii="仿宋" w:hAnsi="仿宋" w:eastAsia="仿宋" w:cs="仿宋"/>
                <w:bCs/>
                <w:szCs w:val="21"/>
              </w:rPr>
              <w:t>建设信创产业学院</w:t>
            </w:r>
          </w:p>
        </w:tc>
        <w:tc>
          <w:tcPr>
            <w:tcW w:w="3541" w:type="dxa"/>
            <w:vAlign w:val="center"/>
          </w:tcPr>
          <w:p>
            <w:pPr>
              <w:rPr>
                <w:rFonts w:ascii="仿宋" w:hAnsi="仿宋" w:eastAsia="仿宋" w:cs="仿宋"/>
                <w:bCs/>
                <w:szCs w:val="21"/>
              </w:rPr>
            </w:pPr>
            <w:r>
              <w:rPr>
                <w:rFonts w:hint="eastAsia" w:ascii="仿宋" w:hAnsi="仿宋" w:eastAsia="仿宋" w:cs="仿宋"/>
                <w:bCs/>
                <w:szCs w:val="21"/>
              </w:rPr>
              <w:t>大数据产业学院；信创产业学院</w:t>
            </w:r>
          </w:p>
        </w:tc>
        <w:tc>
          <w:tcPr>
            <w:tcW w:w="1559" w:type="dxa"/>
            <w:vAlign w:val="center"/>
          </w:tcPr>
          <w:p>
            <w:pPr>
              <w:jc w:val="center"/>
              <w:rPr>
                <w:rFonts w:ascii="仿宋" w:hAnsi="仿宋" w:eastAsia="仿宋" w:cs="仿宋"/>
                <w:bCs/>
                <w:szCs w:val="21"/>
              </w:rPr>
            </w:pPr>
            <w:r>
              <w:rPr>
                <w:rFonts w:hint="eastAsia" w:ascii="仿宋" w:hAnsi="仿宋" w:eastAsia="仿宋" w:cs="仿宋"/>
                <w:bCs/>
                <w:szCs w:val="21"/>
              </w:rPr>
              <w:t>实验室管理中心及二级学院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5" w:type="dxa"/>
            <w:vMerge w:val="continue"/>
            <w:vAlign w:val="center"/>
          </w:tcPr>
          <w:p>
            <w:pPr>
              <w:jc w:val="center"/>
              <w:rPr>
                <w:rFonts w:ascii="仿宋" w:hAnsi="仿宋" w:eastAsia="仿宋" w:cs="仿宋"/>
                <w:b/>
                <w:szCs w:val="21"/>
              </w:rPr>
            </w:pPr>
          </w:p>
        </w:tc>
        <w:tc>
          <w:tcPr>
            <w:tcW w:w="2035" w:type="dxa"/>
            <w:vAlign w:val="center"/>
          </w:tcPr>
          <w:p>
            <w:pPr>
              <w:jc w:val="center"/>
              <w:rPr>
                <w:rFonts w:ascii="仿宋" w:hAnsi="仿宋" w:eastAsia="仿宋" w:cs="仿宋"/>
                <w:bCs/>
                <w:szCs w:val="21"/>
              </w:rPr>
            </w:pPr>
            <w:r>
              <w:rPr>
                <w:rFonts w:hint="eastAsia" w:ascii="仿宋" w:hAnsi="仿宋" w:eastAsia="仿宋" w:cs="仿宋"/>
                <w:bCs/>
                <w:szCs w:val="21"/>
              </w:rPr>
              <w:t>数字商贸产教融合示范基地的建设（数字产业学院二期）</w:t>
            </w:r>
          </w:p>
        </w:tc>
        <w:tc>
          <w:tcPr>
            <w:tcW w:w="3541" w:type="dxa"/>
            <w:vAlign w:val="center"/>
          </w:tcPr>
          <w:p>
            <w:pPr>
              <w:rPr>
                <w:rFonts w:ascii="仿宋" w:hAnsi="仿宋" w:eastAsia="仿宋" w:cs="仿宋"/>
                <w:bCs/>
                <w:szCs w:val="21"/>
              </w:rPr>
            </w:pPr>
            <w:r>
              <w:rPr>
                <w:rFonts w:hint="eastAsia" w:ascii="仿宋" w:hAnsi="仿宋" w:eastAsia="仿宋" w:cs="仿宋"/>
                <w:bCs/>
                <w:szCs w:val="21"/>
              </w:rPr>
              <w:t>基于京东数字产业学院平台，完善数字产业学院文化建设，通过搭建数字孪生实训平台和数字商贸产教融合应用平台，构建数字商贸生产性实训中心，建设数字化课程，提升教学团队整体水平，项目总投入预算为270万元，其中学校投入140万元，企业投入130万元。</w:t>
            </w:r>
          </w:p>
        </w:tc>
        <w:tc>
          <w:tcPr>
            <w:tcW w:w="1559" w:type="dxa"/>
            <w:vAlign w:val="center"/>
          </w:tcPr>
          <w:p>
            <w:pPr>
              <w:jc w:val="center"/>
              <w:rPr>
                <w:rFonts w:ascii="仿宋" w:hAnsi="仿宋" w:eastAsia="仿宋" w:cs="仿宋"/>
                <w:bCs/>
                <w:szCs w:val="21"/>
              </w:rPr>
            </w:pPr>
            <w:r>
              <w:rPr>
                <w:rFonts w:hint="eastAsia" w:ascii="仿宋" w:hAnsi="仿宋" w:eastAsia="仿宋" w:cs="仿宋"/>
                <w:bCs/>
                <w:szCs w:val="21"/>
              </w:rPr>
              <w:t>实验室管理中心及财经商贸学院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5" w:type="dxa"/>
            <w:vMerge w:val="continue"/>
            <w:vAlign w:val="center"/>
          </w:tcPr>
          <w:p>
            <w:pPr>
              <w:jc w:val="center"/>
              <w:rPr>
                <w:rFonts w:ascii="仿宋" w:hAnsi="仿宋" w:eastAsia="仿宋" w:cs="仿宋"/>
                <w:b/>
                <w:szCs w:val="21"/>
              </w:rPr>
            </w:pPr>
          </w:p>
        </w:tc>
        <w:tc>
          <w:tcPr>
            <w:tcW w:w="2035" w:type="dxa"/>
            <w:vAlign w:val="center"/>
          </w:tcPr>
          <w:p>
            <w:pPr>
              <w:jc w:val="center"/>
              <w:rPr>
                <w:rFonts w:ascii="仿宋" w:hAnsi="仿宋" w:eastAsia="仿宋" w:cs="仿宋"/>
                <w:bCs/>
                <w:szCs w:val="21"/>
              </w:rPr>
            </w:pPr>
            <w:r>
              <w:rPr>
                <w:rFonts w:hint="eastAsia" w:ascii="仿宋" w:hAnsi="仿宋" w:eastAsia="仿宋" w:cs="仿宋"/>
                <w:bCs/>
                <w:szCs w:val="21"/>
              </w:rPr>
              <w:t>智能新能源产融合实践中心</w:t>
            </w:r>
          </w:p>
        </w:tc>
        <w:tc>
          <w:tcPr>
            <w:tcW w:w="3541" w:type="dxa"/>
            <w:vAlign w:val="center"/>
          </w:tcPr>
          <w:p>
            <w:pPr>
              <w:rPr>
                <w:rFonts w:ascii="仿宋" w:hAnsi="仿宋" w:eastAsia="仿宋" w:cs="仿宋"/>
                <w:bCs/>
                <w:szCs w:val="21"/>
              </w:rPr>
            </w:pPr>
            <w:r>
              <w:rPr>
                <w:rFonts w:hint="eastAsia" w:ascii="仿宋" w:hAnsi="仿宋" w:eastAsia="仿宋" w:cs="仿宋"/>
                <w:bCs/>
                <w:szCs w:val="21"/>
              </w:rPr>
              <w:t>整合车间建设、与企业共建适应国家打造集教学、实训、培训、科研、竞赛、科普等功能于一体的综合性实践中心。与比亚迪、理想汽车、德赛西威等头部企业深度产教融合，建设校企融合的新能源汽车智能座舱和智能传感实训及资源开发创新平台与研创中心，完善基于产业生态的智能新能源汽车技术创新实训中心与省级教师创新团队。</w:t>
            </w:r>
          </w:p>
        </w:tc>
        <w:tc>
          <w:tcPr>
            <w:tcW w:w="1559" w:type="dxa"/>
            <w:vAlign w:val="center"/>
          </w:tcPr>
          <w:p>
            <w:pPr>
              <w:jc w:val="center"/>
              <w:rPr>
                <w:rFonts w:ascii="仿宋" w:hAnsi="仿宋" w:eastAsia="仿宋" w:cs="仿宋"/>
                <w:bCs/>
                <w:szCs w:val="21"/>
              </w:rPr>
            </w:pPr>
            <w:r>
              <w:rPr>
                <w:rFonts w:hint="eastAsia" w:ascii="仿宋" w:hAnsi="仿宋" w:eastAsia="仿宋" w:cs="仿宋"/>
                <w:bCs/>
                <w:szCs w:val="21"/>
              </w:rPr>
              <w:t>实验室管理中心及机电工程学院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5" w:type="dxa"/>
            <w:vMerge w:val="continue"/>
            <w:vAlign w:val="center"/>
          </w:tcPr>
          <w:p>
            <w:pPr>
              <w:jc w:val="center"/>
              <w:rPr>
                <w:rFonts w:ascii="仿宋" w:hAnsi="仿宋" w:eastAsia="仿宋" w:cs="仿宋"/>
                <w:b/>
                <w:szCs w:val="21"/>
              </w:rPr>
            </w:pPr>
          </w:p>
        </w:tc>
        <w:tc>
          <w:tcPr>
            <w:tcW w:w="2035" w:type="dxa"/>
            <w:vAlign w:val="center"/>
          </w:tcPr>
          <w:p>
            <w:pPr>
              <w:jc w:val="center"/>
              <w:rPr>
                <w:rFonts w:ascii="仿宋" w:hAnsi="仿宋" w:eastAsia="仿宋" w:cs="仿宋"/>
                <w:bCs/>
                <w:szCs w:val="21"/>
              </w:rPr>
            </w:pPr>
            <w:r>
              <w:rPr>
                <w:rFonts w:hint="eastAsia" w:ascii="仿宋" w:hAnsi="仿宋" w:eastAsia="仿宋" w:cs="仿宋"/>
                <w:bCs/>
                <w:szCs w:val="21"/>
              </w:rPr>
              <w:t>物联网产教融合实践中心</w:t>
            </w:r>
          </w:p>
        </w:tc>
        <w:tc>
          <w:tcPr>
            <w:tcW w:w="3541" w:type="dxa"/>
            <w:vAlign w:val="center"/>
          </w:tcPr>
          <w:p>
            <w:pPr>
              <w:rPr>
                <w:rFonts w:ascii="仿宋" w:hAnsi="仿宋" w:eastAsia="仿宋" w:cs="仿宋"/>
                <w:bCs/>
                <w:szCs w:val="21"/>
              </w:rPr>
            </w:pPr>
            <w:r>
              <w:rPr>
                <w:rFonts w:hint="eastAsia" w:ascii="仿宋" w:hAnsi="仿宋" w:eastAsia="仿宋" w:cs="仿宋"/>
                <w:bCs/>
                <w:szCs w:val="21"/>
              </w:rPr>
              <w:t>依托惠州支柱产业-电子信息产业，紧密围绕物联网产业，与TCL、华阳、德赛、海尔、新大陆等企业共建共享产教融合实践中心，诚飞物联网实训室、物联网工程实施与运维、智能终端产品仿真实训室、智能终端机芯“校中厂”等一共15间实训室</w:t>
            </w:r>
          </w:p>
        </w:tc>
        <w:tc>
          <w:tcPr>
            <w:tcW w:w="1559" w:type="dxa"/>
            <w:vAlign w:val="center"/>
          </w:tcPr>
          <w:p>
            <w:pPr>
              <w:jc w:val="center"/>
              <w:rPr>
                <w:rFonts w:ascii="仿宋" w:hAnsi="仿宋" w:eastAsia="仿宋" w:cs="仿宋"/>
                <w:bCs/>
                <w:szCs w:val="21"/>
              </w:rPr>
            </w:pPr>
            <w:r>
              <w:rPr>
                <w:rFonts w:hint="eastAsia" w:ascii="仿宋" w:hAnsi="仿宋" w:eastAsia="仿宋" w:cs="仿宋"/>
                <w:bCs/>
                <w:szCs w:val="21"/>
              </w:rPr>
              <w:t>实验室管理中心及智能工程学院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5" w:type="dxa"/>
            <w:vMerge w:val="continue"/>
            <w:vAlign w:val="center"/>
          </w:tcPr>
          <w:p>
            <w:pPr>
              <w:jc w:val="center"/>
              <w:rPr>
                <w:rFonts w:ascii="仿宋" w:hAnsi="仿宋" w:eastAsia="仿宋" w:cs="仿宋"/>
                <w:b/>
                <w:szCs w:val="21"/>
              </w:rPr>
            </w:pPr>
          </w:p>
        </w:tc>
        <w:tc>
          <w:tcPr>
            <w:tcW w:w="2035" w:type="dxa"/>
            <w:vAlign w:val="center"/>
          </w:tcPr>
          <w:p>
            <w:pPr>
              <w:jc w:val="center"/>
              <w:rPr>
                <w:rFonts w:ascii="仿宋" w:hAnsi="仿宋" w:eastAsia="仿宋" w:cs="仿宋"/>
                <w:bCs/>
                <w:szCs w:val="21"/>
              </w:rPr>
            </w:pPr>
            <w:r>
              <w:rPr>
                <w:rFonts w:hint="eastAsia" w:ascii="仿宋" w:hAnsi="仿宋" w:eastAsia="仿宋" w:cs="仿宋"/>
                <w:bCs/>
                <w:szCs w:val="21"/>
              </w:rPr>
              <w:t>信息技术应用创新产教融合实践中心</w:t>
            </w:r>
          </w:p>
        </w:tc>
        <w:tc>
          <w:tcPr>
            <w:tcW w:w="3541" w:type="dxa"/>
            <w:vAlign w:val="center"/>
          </w:tcPr>
          <w:p>
            <w:pPr>
              <w:jc w:val="center"/>
              <w:rPr>
                <w:rFonts w:ascii="仿宋" w:hAnsi="仿宋" w:eastAsia="仿宋" w:cs="仿宋"/>
                <w:bCs/>
                <w:szCs w:val="21"/>
              </w:rPr>
            </w:pPr>
            <w:r>
              <w:rPr>
                <w:rFonts w:hint="eastAsia" w:ascii="仿宋" w:hAnsi="仿宋" w:eastAsia="仿宋" w:cs="仿宋"/>
                <w:bCs/>
                <w:szCs w:val="21"/>
              </w:rPr>
              <w:t>通过深化产教融合，整合产业和教育资源，共同推进信创人才培养</w:t>
            </w:r>
            <w:r>
              <w:rPr>
                <w:rFonts w:hint="eastAsia" w:ascii="仿宋" w:hAnsi="仿宋" w:eastAsia="仿宋" w:cs="仿宋"/>
                <w:bCs/>
                <w:szCs w:val="21"/>
                <w:lang w:eastAsia="zh-CN"/>
              </w:rPr>
              <w:t>基地</w:t>
            </w:r>
            <w:r>
              <w:rPr>
                <w:rFonts w:hint="eastAsia" w:ascii="仿宋" w:hAnsi="仿宋" w:eastAsia="仿宋" w:cs="仿宋"/>
                <w:bCs/>
                <w:szCs w:val="21"/>
              </w:rPr>
              <w:t>、信创适配测试中心建设，促进人才培养、科研创新、资源共享和社会服务等方面的协同发展，为推动信息技术应用创新产业持续健康发展提供有力支持。</w:t>
            </w:r>
          </w:p>
        </w:tc>
        <w:tc>
          <w:tcPr>
            <w:tcW w:w="1559" w:type="dxa"/>
            <w:vAlign w:val="center"/>
          </w:tcPr>
          <w:p>
            <w:pPr>
              <w:jc w:val="center"/>
              <w:rPr>
                <w:rFonts w:ascii="仿宋" w:hAnsi="仿宋" w:eastAsia="仿宋" w:cs="仿宋"/>
                <w:bCs/>
                <w:szCs w:val="21"/>
              </w:rPr>
            </w:pPr>
            <w:r>
              <w:rPr>
                <w:rFonts w:hint="eastAsia" w:ascii="仿宋" w:hAnsi="仿宋" w:eastAsia="仿宋" w:cs="仿宋"/>
                <w:bCs/>
                <w:szCs w:val="21"/>
              </w:rPr>
              <w:t>实验室管理中心及信息工程学院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5" w:type="dxa"/>
            <w:vMerge w:val="continue"/>
            <w:vAlign w:val="center"/>
          </w:tcPr>
          <w:p>
            <w:pPr>
              <w:jc w:val="center"/>
              <w:rPr>
                <w:rFonts w:ascii="仿宋" w:hAnsi="仿宋" w:eastAsia="仿宋" w:cs="仿宋"/>
                <w:b/>
                <w:szCs w:val="21"/>
              </w:rPr>
            </w:pPr>
          </w:p>
        </w:tc>
        <w:tc>
          <w:tcPr>
            <w:tcW w:w="2035" w:type="dxa"/>
            <w:vAlign w:val="center"/>
          </w:tcPr>
          <w:p>
            <w:pPr>
              <w:jc w:val="center"/>
              <w:rPr>
                <w:rFonts w:ascii="仿宋" w:hAnsi="仿宋" w:eastAsia="仿宋" w:cs="仿宋"/>
                <w:bCs/>
                <w:szCs w:val="21"/>
              </w:rPr>
            </w:pPr>
            <w:r>
              <w:rPr>
                <w:rFonts w:hint="eastAsia" w:ascii="仿宋" w:hAnsi="仿宋" w:eastAsia="仿宋" w:cs="仿宋"/>
                <w:bCs/>
                <w:szCs w:val="21"/>
              </w:rPr>
              <w:t>企业数字化转型服务协同创新产教实践中心</w:t>
            </w:r>
          </w:p>
        </w:tc>
        <w:tc>
          <w:tcPr>
            <w:tcW w:w="3541" w:type="dxa"/>
            <w:vAlign w:val="center"/>
          </w:tcPr>
          <w:p>
            <w:pPr>
              <w:jc w:val="center"/>
              <w:rPr>
                <w:rFonts w:ascii="仿宋" w:hAnsi="仿宋" w:eastAsia="仿宋" w:cs="仿宋"/>
                <w:bCs/>
                <w:szCs w:val="21"/>
              </w:rPr>
            </w:pPr>
            <w:r>
              <w:rPr>
                <w:rFonts w:hint="eastAsia" w:ascii="仿宋" w:hAnsi="仿宋" w:eastAsia="仿宋" w:cs="仿宋"/>
                <w:bCs/>
                <w:szCs w:val="21"/>
              </w:rPr>
              <w:t>围绕企业数字化转型升级，与市发改委、商务局等部门以及协会、企业共建企业数字化转型服务协同创新中心，为中小企业提供数据分析、数据采集、数据可视化等技术支持在产品、用户、营销、资金、融资等各方面的支持和成果转化。帮助中小企业专注于核心业务，提高其商务数据分析、数字化管理、数字化营销等水平</w:t>
            </w:r>
          </w:p>
        </w:tc>
        <w:tc>
          <w:tcPr>
            <w:tcW w:w="1559" w:type="dxa"/>
            <w:vAlign w:val="center"/>
          </w:tcPr>
          <w:p>
            <w:pPr>
              <w:jc w:val="center"/>
              <w:rPr>
                <w:rFonts w:ascii="仿宋" w:hAnsi="仿宋" w:eastAsia="仿宋" w:cs="仿宋"/>
                <w:bCs/>
                <w:szCs w:val="21"/>
              </w:rPr>
            </w:pPr>
            <w:r>
              <w:rPr>
                <w:rFonts w:hint="eastAsia" w:ascii="仿宋" w:hAnsi="仿宋" w:eastAsia="仿宋" w:cs="仿宋"/>
                <w:bCs/>
                <w:szCs w:val="21"/>
              </w:rPr>
              <w:t>实验室管理中心及财经商贸学院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5" w:type="dxa"/>
            <w:vMerge w:val="continue"/>
            <w:vAlign w:val="center"/>
          </w:tcPr>
          <w:p>
            <w:pPr>
              <w:jc w:val="center"/>
              <w:rPr>
                <w:rFonts w:ascii="仿宋" w:hAnsi="仿宋" w:eastAsia="仿宋" w:cs="仿宋"/>
                <w:b/>
                <w:szCs w:val="21"/>
              </w:rPr>
            </w:pPr>
          </w:p>
        </w:tc>
        <w:tc>
          <w:tcPr>
            <w:tcW w:w="2035" w:type="dxa"/>
            <w:vAlign w:val="center"/>
          </w:tcPr>
          <w:p>
            <w:pPr>
              <w:jc w:val="center"/>
              <w:rPr>
                <w:rFonts w:ascii="仿宋" w:hAnsi="仿宋" w:eastAsia="仿宋" w:cs="仿宋"/>
                <w:bCs/>
                <w:szCs w:val="21"/>
              </w:rPr>
            </w:pPr>
            <w:r>
              <w:rPr>
                <w:rFonts w:hint="eastAsia" w:ascii="仿宋" w:hAnsi="仿宋" w:eastAsia="仿宋" w:cs="仿宋"/>
                <w:bCs/>
                <w:szCs w:val="21"/>
              </w:rPr>
              <w:t>惠州特色农产品精深加工产教融合实践中心</w:t>
            </w:r>
          </w:p>
        </w:tc>
        <w:tc>
          <w:tcPr>
            <w:tcW w:w="3541" w:type="dxa"/>
            <w:vAlign w:val="center"/>
          </w:tcPr>
          <w:p>
            <w:pPr>
              <w:rPr>
                <w:rFonts w:ascii="仿宋" w:hAnsi="仿宋" w:eastAsia="仿宋" w:cs="仿宋"/>
                <w:bCs/>
                <w:szCs w:val="21"/>
              </w:rPr>
            </w:pPr>
            <w:r>
              <w:rPr>
                <w:rFonts w:hint="eastAsia" w:ascii="仿宋" w:hAnsi="仿宋" w:eastAsia="仿宋" w:cs="仿宋"/>
                <w:bCs/>
                <w:szCs w:val="21"/>
              </w:rPr>
              <w:t>完善现有实训室设备，开展社会化服务</w:t>
            </w:r>
          </w:p>
        </w:tc>
        <w:tc>
          <w:tcPr>
            <w:tcW w:w="1559" w:type="dxa"/>
            <w:vAlign w:val="center"/>
          </w:tcPr>
          <w:p>
            <w:pPr>
              <w:jc w:val="center"/>
              <w:rPr>
                <w:rFonts w:ascii="仿宋" w:hAnsi="仿宋" w:eastAsia="仿宋" w:cs="仿宋"/>
                <w:bCs/>
                <w:szCs w:val="21"/>
              </w:rPr>
            </w:pPr>
            <w:r>
              <w:rPr>
                <w:rFonts w:hint="eastAsia" w:ascii="仿宋" w:hAnsi="仿宋" w:eastAsia="仿宋" w:cs="仿宋"/>
                <w:bCs/>
                <w:szCs w:val="21"/>
              </w:rPr>
              <w:t>实验室管理中心及生态工程学院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5" w:type="dxa"/>
            <w:vMerge w:val="restart"/>
            <w:vAlign w:val="center"/>
          </w:tcPr>
          <w:p>
            <w:pPr>
              <w:jc w:val="center"/>
              <w:rPr>
                <w:rFonts w:ascii="仿宋" w:hAnsi="仿宋" w:eastAsia="仿宋" w:cs="仿宋"/>
                <w:b/>
                <w:szCs w:val="21"/>
              </w:rPr>
            </w:pPr>
            <w:r>
              <w:rPr>
                <w:rFonts w:hint="eastAsia" w:ascii="仿宋" w:hAnsi="仿宋" w:eastAsia="仿宋" w:cs="仿宋"/>
                <w:b/>
                <w:szCs w:val="21"/>
              </w:rPr>
              <w:t>2025</w:t>
            </w:r>
          </w:p>
        </w:tc>
        <w:tc>
          <w:tcPr>
            <w:tcW w:w="2035" w:type="dxa"/>
            <w:vAlign w:val="center"/>
          </w:tcPr>
          <w:p>
            <w:pPr>
              <w:jc w:val="center"/>
              <w:rPr>
                <w:rFonts w:ascii="仿宋" w:hAnsi="仿宋" w:eastAsia="仿宋" w:cs="仿宋"/>
                <w:bCs/>
                <w:szCs w:val="21"/>
              </w:rPr>
            </w:pPr>
            <w:r>
              <w:rPr>
                <w:rFonts w:hint="eastAsia" w:ascii="仿宋" w:hAnsi="仿宋" w:eastAsia="仿宋" w:cs="仿宋"/>
                <w:bCs/>
                <w:szCs w:val="21"/>
              </w:rPr>
              <w:t>现代智能制造产教融合实践中心三期</w:t>
            </w:r>
          </w:p>
        </w:tc>
        <w:tc>
          <w:tcPr>
            <w:tcW w:w="3541" w:type="dxa"/>
            <w:vAlign w:val="center"/>
          </w:tcPr>
          <w:p>
            <w:pPr>
              <w:rPr>
                <w:rFonts w:ascii="仿宋" w:hAnsi="仿宋" w:eastAsia="仿宋" w:cs="仿宋"/>
                <w:bCs/>
                <w:szCs w:val="21"/>
              </w:rPr>
            </w:pPr>
            <w:r>
              <w:rPr>
                <w:rFonts w:hint="eastAsia" w:ascii="仿宋" w:hAnsi="仿宋" w:eastAsia="仿宋" w:cs="仿宋"/>
                <w:bCs/>
                <w:szCs w:val="21"/>
              </w:rPr>
              <w:t>数控多轴虚拟仿真实训室</w:t>
            </w:r>
          </w:p>
        </w:tc>
        <w:tc>
          <w:tcPr>
            <w:tcW w:w="1559" w:type="dxa"/>
            <w:vAlign w:val="center"/>
          </w:tcPr>
          <w:p>
            <w:pPr>
              <w:jc w:val="center"/>
              <w:rPr>
                <w:rFonts w:ascii="仿宋" w:hAnsi="仿宋" w:eastAsia="仿宋" w:cs="仿宋"/>
                <w:bCs/>
                <w:szCs w:val="21"/>
              </w:rPr>
            </w:pPr>
            <w:r>
              <w:rPr>
                <w:rFonts w:hint="eastAsia" w:ascii="仿宋" w:hAnsi="仿宋" w:eastAsia="仿宋" w:cs="仿宋"/>
                <w:bCs/>
                <w:szCs w:val="21"/>
              </w:rPr>
              <w:t>实验室管理中心及机电工程学院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0" w:hRule="atLeast"/>
          <w:jc w:val="center"/>
        </w:trPr>
        <w:tc>
          <w:tcPr>
            <w:tcW w:w="1195" w:type="dxa"/>
            <w:vMerge w:val="continue"/>
            <w:vAlign w:val="center"/>
          </w:tcPr>
          <w:p>
            <w:pPr>
              <w:jc w:val="center"/>
              <w:rPr>
                <w:rFonts w:ascii="仿宋" w:hAnsi="仿宋" w:eastAsia="仿宋" w:cs="仿宋"/>
                <w:bCs/>
                <w:szCs w:val="21"/>
              </w:rPr>
            </w:pPr>
          </w:p>
        </w:tc>
        <w:tc>
          <w:tcPr>
            <w:tcW w:w="2035" w:type="dxa"/>
            <w:vAlign w:val="center"/>
          </w:tcPr>
          <w:p>
            <w:pPr>
              <w:jc w:val="center"/>
              <w:rPr>
                <w:rFonts w:ascii="仿宋" w:hAnsi="仿宋" w:eastAsia="仿宋" w:cs="仿宋"/>
                <w:bCs/>
                <w:szCs w:val="21"/>
              </w:rPr>
            </w:pPr>
            <w:r>
              <w:rPr>
                <w:rFonts w:hint="eastAsia" w:ascii="仿宋" w:hAnsi="仿宋" w:eastAsia="仿宋" w:cs="仿宋"/>
                <w:bCs/>
                <w:szCs w:val="21"/>
              </w:rPr>
              <w:t>TCL产业学院</w:t>
            </w:r>
          </w:p>
        </w:tc>
        <w:tc>
          <w:tcPr>
            <w:tcW w:w="3541" w:type="dxa"/>
            <w:vAlign w:val="center"/>
          </w:tcPr>
          <w:p>
            <w:pPr>
              <w:rPr>
                <w:rFonts w:ascii="仿宋" w:hAnsi="仿宋" w:eastAsia="仿宋" w:cs="仿宋"/>
                <w:bCs/>
                <w:szCs w:val="21"/>
              </w:rPr>
            </w:pPr>
            <w:r>
              <w:rPr>
                <w:rFonts w:hint="eastAsia" w:ascii="仿宋" w:hAnsi="仿宋" w:eastAsia="仿宋" w:cs="仿宋"/>
                <w:bCs/>
                <w:szCs w:val="21"/>
              </w:rPr>
              <w:t>智能控制技术实训室，虚拟仿真实训室；将智能制造相关的运行和控制平台集成在一个实训台上，直观地展现出各电子元器件、驱动单元和控制单元之间的连接和控制逻辑，通过实际操作和连接线路，了解设备的基本运行和控制原理，以便拥有对设备的常见的故障进行诊断分析并进行维护和维修的</w:t>
            </w:r>
            <w:r>
              <w:rPr>
                <w:rFonts w:hint="eastAsia" w:ascii="仿宋" w:hAnsi="仿宋" w:eastAsia="仿宋" w:cs="仿宋"/>
                <w:bCs/>
                <w:szCs w:val="21"/>
                <w:lang w:eastAsia="zh-CN"/>
              </w:rPr>
              <w:t>技能</w:t>
            </w:r>
            <w:r>
              <w:rPr>
                <w:rFonts w:hint="eastAsia" w:ascii="仿宋" w:hAnsi="仿宋" w:eastAsia="仿宋" w:cs="仿宋"/>
                <w:bCs/>
                <w:szCs w:val="21"/>
              </w:rPr>
              <w:t>，达到学有所用，教学与产业实际需求不脱节目的。</w:t>
            </w:r>
          </w:p>
        </w:tc>
        <w:tc>
          <w:tcPr>
            <w:tcW w:w="1559" w:type="dxa"/>
            <w:vAlign w:val="center"/>
          </w:tcPr>
          <w:p>
            <w:pPr>
              <w:jc w:val="center"/>
              <w:rPr>
                <w:rFonts w:ascii="仿宋" w:hAnsi="仿宋" w:eastAsia="仿宋" w:cs="仿宋"/>
                <w:bCs/>
                <w:szCs w:val="21"/>
              </w:rPr>
            </w:pPr>
            <w:r>
              <w:rPr>
                <w:rFonts w:hint="eastAsia" w:ascii="仿宋" w:hAnsi="仿宋" w:eastAsia="仿宋" w:cs="仿宋"/>
                <w:bCs/>
                <w:szCs w:val="21"/>
              </w:rPr>
              <w:t>实验室管理中心及智能工程学院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5" w:type="dxa"/>
            <w:vMerge w:val="continue"/>
            <w:vAlign w:val="center"/>
          </w:tcPr>
          <w:p>
            <w:pPr>
              <w:jc w:val="center"/>
              <w:rPr>
                <w:rFonts w:ascii="仿宋" w:hAnsi="仿宋" w:eastAsia="仿宋" w:cs="仿宋"/>
                <w:bCs/>
                <w:szCs w:val="21"/>
              </w:rPr>
            </w:pPr>
          </w:p>
        </w:tc>
        <w:tc>
          <w:tcPr>
            <w:tcW w:w="2035" w:type="dxa"/>
            <w:vAlign w:val="center"/>
          </w:tcPr>
          <w:p>
            <w:pPr>
              <w:jc w:val="center"/>
              <w:rPr>
                <w:rFonts w:ascii="仿宋" w:hAnsi="仿宋" w:eastAsia="仿宋" w:cs="仿宋"/>
                <w:bCs/>
                <w:szCs w:val="21"/>
              </w:rPr>
            </w:pPr>
            <w:r>
              <w:rPr>
                <w:rFonts w:hint="eastAsia" w:ascii="仿宋" w:hAnsi="仿宋" w:eastAsia="仿宋" w:cs="仿宋"/>
                <w:bCs/>
                <w:szCs w:val="21"/>
              </w:rPr>
              <w:t>大数据技术产教融合实践中心</w:t>
            </w:r>
          </w:p>
        </w:tc>
        <w:tc>
          <w:tcPr>
            <w:tcW w:w="3541" w:type="dxa"/>
            <w:vAlign w:val="center"/>
          </w:tcPr>
          <w:p>
            <w:pPr>
              <w:jc w:val="center"/>
              <w:rPr>
                <w:rFonts w:ascii="仿宋" w:hAnsi="仿宋" w:eastAsia="仿宋" w:cs="仿宋"/>
                <w:bCs/>
                <w:szCs w:val="21"/>
              </w:rPr>
            </w:pPr>
            <w:r>
              <w:rPr>
                <w:rFonts w:hint="eastAsia" w:ascii="仿宋" w:hAnsi="仿宋" w:eastAsia="仿宋" w:cs="仿宋"/>
                <w:bCs/>
                <w:szCs w:val="21"/>
              </w:rPr>
              <w:t>构建大数据产业与教育的深度融合机制，以培养具备大数据理论知识和实践技能的高素质人才。推动大数据领域的科研合作，促进产学研用一体化。实现教育资源和产业资源的共享，优化资源配置，发挥大数据技术产教融合体在社会服务方面的作用</w:t>
            </w:r>
          </w:p>
        </w:tc>
        <w:tc>
          <w:tcPr>
            <w:tcW w:w="1559" w:type="dxa"/>
            <w:vAlign w:val="center"/>
          </w:tcPr>
          <w:p>
            <w:pPr>
              <w:jc w:val="center"/>
              <w:rPr>
                <w:rFonts w:ascii="仿宋" w:hAnsi="仿宋" w:eastAsia="仿宋" w:cs="仿宋"/>
                <w:bCs/>
                <w:szCs w:val="21"/>
              </w:rPr>
            </w:pPr>
            <w:r>
              <w:rPr>
                <w:rFonts w:hint="eastAsia" w:ascii="仿宋" w:hAnsi="仿宋" w:eastAsia="仿宋" w:cs="仿宋"/>
                <w:bCs/>
                <w:szCs w:val="21"/>
              </w:rPr>
              <w:t>实验室管理中心及信息工程学院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5" w:type="dxa"/>
            <w:vMerge w:val="continue"/>
            <w:vAlign w:val="center"/>
          </w:tcPr>
          <w:p>
            <w:pPr>
              <w:jc w:val="center"/>
              <w:rPr>
                <w:rFonts w:ascii="仿宋" w:hAnsi="仿宋" w:eastAsia="仿宋" w:cs="仿宋"/>
                <w:bCs/>
                <w:szCs w:val="21"/>
              </w:rPr>
            </w:pPr>
          </w:p>
        </w:tc>
        <w:tc>
          <w:tcPr>
            <w:tcW w:w="2035" w:type="dxa"/>
            <w:vAlign w:val="center"/>
          </w:tcPr>
          <w:p>
            <w:pPr>
              <w:jc w:val="center"/>
              <w:rPr>
                <w:rFonts w:ascii="仿宋" w:hAnsi="仿宋" w:eastAsia="仿宋" w:cs="仿宋"/>
                <w:bCs/>
                <w:szCs w:val="21"/>
              </w:rPr>
            </w:pPr>
            <w:r>
              <w:rPr>
                <w:rFonts w:hint="eastAsia" w:ascii="仿宋" w:hAnsi="仿宋" w:eastAsia="仿宋" w:cs="仿宋"/>
                <w:bCs/>
                <w:szCs w:val="21"/>
              </w:rPr>
              <w:t>工业互联网产教融合实践中心</w:t>
            </w:r>
          </w:p>
        </w:tc>
        <w:tc>
          <w:tcPr>
            <w:tcW w:w="3541" w:type="dxa"/>
            <w:vAlign w:val="center"/>
          </w:tcPr>
          <w:p>
            <w:pPr>
              <w:jc w:val="center"/>
              <w:rPr>
                <w:rFonts w:ascii="仿宋" w:hAnsi="仿宋" w:eastAsia="仿宋" w:cs="仿宋"/>
                <w:bCs/>
                <w:szCs w:val="21"/>
              </w:rPr>
            </w:pPr>
            <w:r>
              <w:rPr>
                <w:rFonts w:hint="eastAsia" w:ascii="仿宋" w:hAnsi="仿宋" w:eastAsia="仿宋" w:cs="仿宋"/>
                <w:bCs/>
                <w:szCs w:val="21"/>
              </w:rPr>
              <w:t>依托惠州支柱产业-电子信息产业，紧密围绕工业互联网产业，与TCL、海尔、华阳、德赛、利元亨等企业共建共享产教融合实践中心</w:t>
            </w:r>
          </w:p>
        </w:tc>
        <w:tc>
          <w:tcPr>
            <w:tcW w:w="1559" w:type="dxa"/>
            <w:vAlign w:val="center"/>
          </w:tcPr>
          <w:p>
            <w:pPr>
              <w:jc w:val="center"/>
              <w:rPr>
                <w:rFonts w:ascii="仿宋" w:hAnsi="仿宋" w:eastAsia="仿宋" w:cs="仿宋"/>
                <w:bCs/>
                <w:szCs w:val="21"/>
              </w:rPr>
            </w:pPr>
            <w:r>
              <w:rPr>
                <w:rFonts w:hint="eastAsia" w:ascii="仿宋" w:hAnsi="仿宋" w:eastAsia="仿宋" w:cs="仿宋"/>
                <w:bCs/>
                <w:szCs w:val="21"/>
              </w:rPr>
              <w:t>实验室管理中心及智能工程学院</w:t>
            </w:r>
          </w:p>
        </w:tc>
      </w:tr>
    </w:tbl>
    <w:p>
      <w:pPr>
        <w:spacing w:line="540" w:lineRule="exact"/>
        <w:ind w:firstLine="562" w:firstLineChars="200"/>
        <w:rPr>
          <w:rFonts w:ascii="仿宋" w:hAnsi="仿宋" w:eastAsia="仿宋"/>
          <w:b/>
          <w:bCs/>
          <w:sz w:val="28"/>
          <w:szCs w:val="28"/>
        </w:rPr>
      </w:pPr>
      <w:r>
        <w:rPr>
          <w:rFonts w:hint="eastAsia" w:ascii="仿宋" w:hAnsi="仿宋" w:eastAsia="仿宋"/>
          <w:b/>
          <w:bCs/>
          <w:sz w:val="28"/>
          <w:szCs w:val="28"/>
        </w:rPr>
        <w:t>（6）预期成效及资金测算</w:t>
      </w:r>
    </w:p>
    <w:tbl>
      <w:tblPr>
        <w:tblStyle w:val="16"/>
        <w:tblW w:w="0" w:type="auto"/>
        <w:jc w:val="center"/>
        <w:tblLayout w:type="autofit"/>
        <w:tblCellMar>
          <w:top w:w="15" w:type="dxa"/>
          <w:left w:w="15" w:type="dxa"/>
          <w:bottom w:w="15" w:type="dxa"/>
          <w:right w:w="15" w:type="dxa"/>
        </w:tblCellMar>
      </w:tblPr>
      <w:tblGrid>
        <w:gridCol w:w="1198"/>
        <w:gridCol w:w="2436"/>
        <w:gridCol w:w="2905"/>
        <w:gridCol w:w="599"/>
        <w:gridCol w:w="599"/>
        <w:gridCol w:w="599"/>
      </w:tblGrid>
      <w:tr>
        <w:tblPrEx>
          <w:tblCellMar>
            <w:top w:w="15" w:type="dxa"/>
            <w:left w:w="15" w:type="dxa"/>
            <w:bottom w:w="15" w:type="dxa"/>
            <w:right w:w="15" w:type="dxa"/>
          </w:tblCellMar>
        </w:tblPrEx>
        <w:trPr>
          <w:trHeight w:val="301" w:hRule="atLeast"/>
          <w:jc w:val="center"/>
        </w:trPr>
        <w:tc>
          <w:tcPr>
            <w:tcW w:w="1198" w:type="dxa"/>
            <w:vMerge w:val="restart"/>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rPr>
              <w:t>项目名称</w:t>
            </w:r>
          </w:p>
        </w:tc>
        <w:tc>
          <w:tcPr>
            <w:tcW w:w="2436" w:type="dxa"/>
            <w:vMerge w:val="restart"/>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rPr>
              <w:t>主要建设内容</w:t>
            </w:r>
          </w:p>
        </w:tc>
        <w:tc>
          <w:tcPr>
            <w:tcW w:w="2905" w:type="dxa"/>
            <w:vMerge w:val="restart"/>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rPr>
              <w:t>预期建设成效</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rPr>
              <w:t>建设资金安排表（万元）</w:t>
            </w:r>
          </w:p>
        </w:tc>
      </w:tr>
      <w:tr>
        <w:tblPrEx>
          <w:tblCellMar>
            <w:top w:w="15" w:type="dxa"/>
            <w:left w:w="15" w:type="dxa"/>
            <w:bottom w:w="15" w:type="dxa"/>
            <w:right w:w="15" w:type="dxa"/>
          </w:tblCellMar>
        </w:tblPrEx>
        <w:trPr>
          <w:trHeight w:val="286" w:hRule="atLeast"/>
          <w:jc w:val="center"/>
        </w:trPr>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jc w:val="center"/>
              <w:rPr>
                <w:rFonts w:ascii="仿宋" w:hAnsi="仿宋" w:eastAsia="仿宋" w:cs="仿宋"/>
                <w:b/>
                <w:bCs/>
                <w:color w:val="000000"/>
                <w:szCs w:val="21"/>
              </w:rPr>
            </w:pPr>
          </w:p>
        </w:tc>
        <w:tc>
          <w:tcPr>
            <w:tcW w:w="2436" w:type="dxa"/>
            <w:vMerge w:val="continue"/>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jc w:val="center"/>
              <w:rPr>
                <w:rFonts w:ascii="仿宋" w:hAnsi="仿宋" w:eastAsia="仿宋" w:cs="仿宋"/>
                <w:b/>
                <w:bCs/>
                <w:color w:val="000000"/>
                <w:szCs w:val="21"/>
              </w:rPr>
            </w:pPr>
          </w:p>
        </w:tc>
        <w:tc>
          <w:tcPr>
            <w:tcW w:w="2905" w:type="dxa"/>
            <w:vMerge w:val="continue"/>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jc w:val="center"/>
              <w:rPr>
                <w:rFonts w:ascii="仿宋" w:hAnsi="仿宋" w:eastAsia="仿宋" w:cs="仿宋"/>
                <w:b/>
                <w:bCs/>
                <w:color w:val="000000"/>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kern w:val="0"/>
                <w:szCs w:val="21"/>
              </w:rPr>
            </w:pPr>
            <w:r>
              <w:rPr>
                <w:rFonts w:hint="eastAsia" w:ascii="仿宋" w:hAnsi="仿宋" w:eastAsia="仿宋" w:cs="仿宋"/>
                <w:b/>
                <w:bCs/>
                <w:color w:val="000000"/>
                <w:kern w:val="0"/>
                <w:szCs w:val="21"/>
              </w:rPr>
              <w:t>2023年</w:t>
            </w:r>
          </w:p>
        </w:tc>
        <w:tc>
          <w:tcPr>
            <w:tcW w:w="0" w:type="auto"/>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rPr>
              <w:t>2024年</w:t>
            </w:r>
          </w:p>
        </w:tc>
        <w:tc>
          <w:tcPr>
            <w:tcW w:w="0" w:type="auto"/>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rPr>
              <w:t>2025年</w:t>
            </w:r>
          </w:p>
        </w:tc>
      </w:tr>
      <w:tr>
        <w:tblPrEx>
          <w:tblCellMar>
            <w:top w:w="15" w:type="dxa"/>
            <w:left w:w="15" w:type="dxa"/>
            <w:bottom w:w="15" w:type="dxa"/>
            <w:right w:w="15" w:type="dxa"/>
          </w:tblCellMar>
        </w:tblPrEx>
        <w:trPr>
          <w:trHeight w:val="450" w:hRule="atLeast"/>
          <w:jc w:val="center"/>
        </w:trPr>
        <w:tc>
          <w:tcPr>
            <w:tcW w:w="1198"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Cs w:val="21"/>
              </w:rPr>
            </w:pPr>
            <w:r>
              <w:rPr>
                <w:rFonts w:hint="eastAsia" w:ascii="仿宋" w:hAnsi="仿宋" w:eastAsia="仿宋" w:cs="仿宋"/>
                <w:b/>
                <w:bCs/>
                <w:color w:val="000000"/>
                <w:szCs w:val="21"/>
              </w:rPr>
              <w:t>开放型区域产教融合实践中心项目</w:t>
            </w:r>
          </w:p>
        </w:tc>
        <w:tc>
          <w:tcPr>
            <w:tcW w:w="2436" w:type="dxa"/>
            <w:tcBorders>
              <w:top w:val="single" w:color="000000" w:sz="4" w:space="0"/>
              <w:left w:val="single" w:color="000000" w:sz="4" w:space="0"/>
              <w:bottom w:val="single" w:color="000000" w:sz="4" w:space="0"/>
              <w:right w:val="single" w:color="000000" w:sz="4" w:space="0"/>
            </w:tcBorders>
            <w:vAlign w:val="center"/>
          </w:tcPr>
          <w:p>
            <w:pPr>
              <w:pStyle w:val="14"/>
              <w:widowControl/>
              <w:spacing w:line="360" w:lineRule="exact"/>
              <w:jc w:val="left"/>
              <w:rPr>
                <w:rFonts w:ascii="仿宋" w:hAnsi="仿宋" w:eastAsia="仿宋" w:cs="仿宋"/>
                <w:bCs/>
                <w:sz w:val="21"/>
                <w:szCs w:val="21"/>
              </w:rPr>
            </w:pPr>
            <w:r>
              <w:rPr>
                <w:rFonts w:hint="eastAsia" w:ascii="仿宋" w:hAnsi="仿宋" w:eastAsia="仿宋" w:cs="仿宋"/>
                <w:bCs/>
                <w:sz w:val="21"/>
                <w:szCs w:val="21"/>
              </w:rPr>
              <w:t>建设集实践教学、职业培训、社会培训、技能竞赛、真实生产和技术服务功能为一体的实践中心，主要对接产业发展前沿，注重产教融合参与主体的多元化和包容性，强调参与过程的共建性和成果的共享性，以及凸显产教融合的产业供求匹配属性和有效发挥服务区域经济社会发展的功能的开放型区域产教融合实践中心。</w:t>
            </w:r>
          </w:p>
        </w:tc>
        <w:tc>
          <w:tcPr>
            <w:tcW w:w="2905" w:type="dxa"/>
            <w:tcBorders>
              <w:top w:val="single" w:color="000000" w:sz="4" w:space="0"/>
              <w:left w:val="single" w:color="000000" w:sz="4" w:space="0"/>
              <w:bottom w:val="single" w:color="000000" w:sz="4" w:space="0"/>
              <w:right w:val="single" w:color="000000" w:sz="4" w:space="0"/>
            </w:tcBorders>
            <w:vAlign w:val="center"/>
          </w:tcPr>
          <w:p>
            <w:pPr>
              <w:pStyle w:val="14"/>
              <w:widowControl/>
              <w:spacing w:line="360" w:lineRule="exact"/>
              <w:jc w:val="left"/>
              <w:rPr>
                <w:rFonts w:ascii="仿宋" w:hAnsi="仿宋" w:eastAsia="仿宋" w:cs="仿宋"/>
                <w:bCs/>
                <w:szCs w:val="21"/>
              </w:rPr>
            </w:pPr>
            <w:r>
              <w:rPr>
                <w:rFonts w:hint="eastAsia" w:ascii="仿宋" w:hAnsi="仿宋" w:eastAsia="仿宋" w:cs="仿宋"/>
                <w:bCs/>
                <w:sz w:val="21"/>
                <w:szCs w:val="21"/>
              </w:rPr>
              <w:t>2023-2025期间，规划建设12个开放型区域产教融合实践中心：智能终端产教融合实践中心、物联网产教融合实践中心、工业互联网产教融合实践中心、现代智能制造产教融合实践中心、智能新能源汽车产教融合实践中心、现代农业产教融合实践中心、惠州特色农产品精深加工产教融合实践中心、艺术设计产教融合实践中心、信创产业产教融合实践中心、大数据产教融合实践中心、数字商贸产教融合示范基地、电子商务产教融合实践中心的建设。</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Cs w:val="21"/>
              </w:rPr>
            </w:pPr>
            <w:r>
              <w:rPr>
                <w:rFonts w:hint="eastAsia" w:ascii="仿宋" w:hAnsi="仿宋" w:eastAsia="仿宋" w:cs="仿宋"/>
                <w:color w:val="000000"/>
                <w:szCs w:val="21"/>
              </w:rPr>
              <w:t>1000</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Cs w:val="21"/>
              </w:rPr>
            </w:pPr>
            <w:r>
              <w:rPr>
                <w:rFonts w:hint="eastAsia" w:ascii="仿宋" w:hAnsi="仿宋" w:eastAsia="仿宋" w:cs="仿宋"/>
                <w:color w:val="000000"/>
                <w:szCs w:val="21"/>
              </w:rPr>
              <w:t>1000</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Cs w:val="21"/>
              </w:rPr>
            </w:pPr>
            <w:r>
              <w:rPr>
                <w:rFonts w:hint="eastAsia" w:ascii="仿宋" w:hAnsi="仿宋" w:eastAsia="仿宋" w:cs="仿宋"/>
                <w:color w:val="000000"/>
                <w:szCs w:val="21"/>
              </w:rPr>
              <w:t>1000</w:t>
            </w:r>
          </w:p>
        </w:tc>
      </w:tr>
      <w:bookmarkEnd w:id="77"/>
    </w:tbl>
    <w:p/>
    <w:p>
      <w:pPr>
        <w:pStyle w:val="3"/>
        <w:ind w:firstLine="643"/>
      </w:pPr>
      <w:bookmarkStart w:id="78" w:name="_Toc164347859"/>
      <w:r>
        <w:rPr>
          <w:rFonts w:hint="eastAsia"/>
        </w:rPr>
        <w:t>（七）数字校园建设项目</w:t>
      </w:r>
      <w:bookmarkEnd w:id="78"/>
    </w:p>
    <w:p>
      <w:pPr>
        <w:keepNext/>
        <w:keepLines/>
        <w:spacing w:line="540" w:lineRule="exact"/>
        <w:ind w:firstLine="562" w:firstLineChars="200"/>
        <w:outlineLvl w:val="3"/>
        <w:rPr>
          <w:rFonts w:ascii="Times New Roman" w:hAnsi="Times New Roman" w:eastAsia="仿宋"/>
          <w:b/>
          <w:sz w:val="28"/>
          <w:szCs w:val="28"/>
        </w:rPr>
      </w:pPr>
      <w:r>
        <w:rPr>
          <w:rFonts w:hint="eastAsia" w:ascii="Times New Roman" w:hAnsi="Times New Roman" w:eastAsia="仿宋"/>
          <w:b/>
          <w:sz w:val="28"/>
          <w:szCs w:val="28"/>
        </w:rPr>
        <w:t>（1）必要性和可行性</w:t>
      </w:r>
    </w:p>
    <w:p>
      <w:pPr>
        <w:spacing w:line="540" w:lineRule="exact"/>
        <w:ind w:firstLine="562" w:firstLineChars="200"/>
        <w:rPr>
          <w:rFonts w:ascii="仿宋" w:hAnsi="仿宋" w:eastAsia="仿宋" w:cs="仿宋"/>
          <w:kern w:val="0"/>
          <w:sz w:val="28"/>
        </w:rPr>
      </w:pPr>
      <w:r>
        <w:rPr>
          <w:rFonts w:hint="eastAsia" w:ascii="仿宋" w:hAnsi="仿宋" w:eastAsia="仿宋" w:cs="仿宋"/>
          <w:b/>
          <w:bCs/>
          <w:kern w:val="0"/>
          <w:sz w:val="28"/>
        </w:rPr>
        <w:t>① 适应时代要求。</w:t>
      </w:r>
      <w:r>
        <w:rPr>
          <w:rFonts w:hint="eastAsia" w:ascii="仿宋" w:hAnsi="仿宋" w:eastAsia="仿宋" w:cs="仿宋"/>
          <w:kern w:val="0"/>
          <w:sz w:val="28"/>
        </w:rPr>
        <w:t>随着科技的迅猛发展和信息技术的广泛应用，数字化已经成为引领教育创新、提升教育质量的重要引擎。高等职业教育作为为社会输送高素质技术技能人才的关键环节，必须紧跟时代步伐，全面优化数字化战略，以满足经济社会对人才的需求。</w:t>
      </w:r>
    </w:p>
    <w:p>
      <w:pPr>
        <w:spacing w:line="540" w:lineRule="exact"/>
        <w:ind w:firstLine="562" w:firstLineChars="200"/>
        <w:rPr>
          <w:rFonts w:ascii="仿宋" w:hAnsi="仿宋" w:eastAsia="仿宋" w:cs="仿宋"/>
          <w:kern w:val="0"/>
          <w:sz w:val="28"/>
        </w:rPr>
      </w:pPr>
      <w:r>
        <w:rPr>
          <w:rFonts w:hint="eastAsia" w:ascii="仿宋" w:hAnsi="仿宋" w:eastAsia="仿宋" w:cs="仿宋"/>
          <w:b/>
          <w:bCs/>
          <w:kern w:val="0"/>
          <w:sz w:val="28"/>
        </w:rPr>
        <w:t>② 提高教育质量。</w:t>
      </w:r>
      <w:r>
        <w:rPr>
          <w:rFonts w:hint="eastAsia" w:ascii="仿宋" w:hAnsi="仿宋" w:eastAsia="仿宋" w:cs="仿宋"/>
          <w:kern w:val="0"/>
          <w:sz w:val="28"/>
        </w:rPr>
        <w:t>数字化战略的实施，能够使教学内容更加生动、直观，提高学生的学习兴趣和效果。同时，数字化手段能够突破传统教学的时空限制，为学生提供更加便捷、高效的学习资源和平台。</w:t>
      </w:r>
    </w:p>
    <w:p>
      <w:pPr>
        <w:spacing w:line="540" w:lineRule="exact"/>
        <w:ind w:firstLine="562" w:firstLineChars="200"/>
        <w:rPr>
          <w:rFonts w:ascii="仿宋" w:hAnsi="仿宋" w:eastAsia="仿宋" w:cs="仿宋"/>
          <w:kern w:val="0"/>
          <w:sz w:val="28"/>
        </w:rPr>
      </w:pPr>
      <w:r>
        <w:rPr>
          <w:rFonts w:hint="eastAsia" w:ascii="仿宋" w:hAnsi="仿宋" w:eastAsia="仿宋" w:cs="仿宋"/>
          <w:b/>
          <w:bCs/>
          <w:kern w:val="0"/>
          <w:sz w:val="28"/>
        </w:rPr>
        <w:t>③ 促进产教融合。</w:t>
      </w:r>
      <w:r>
        <w:rPr>
          <w:rFonts w:hint="eastAsia" w:ascii="仿宋" w:hAnsi="仿宋" w:eastAsia="仿宋" w:cs="仿宋"/>
          <w:kern w:val="0"/>
          <w:sz w:val="28"/>
        </w:rPr>
        <w:t>数字化战略还能够促进学校与产业界的深度融合，共同开发教学资源、推进实践教学，使学生更好地掌握实用技能，增强就业竞争力。</w:t>
      </w:r>
    </w:p>
    <w:p>
      <w:pPr>
        <w:spacing w:line="540" w:lineRule="exact"/>
        <w:ind w:firstLine="560" w:firstLineChars="200"/>
        <w:rPr>
          <w:rFonts w:ascii="仿宋" w:hAnsi="仿宋" w:eastAsia="仿宋" w:cs="仿宋"/>
          <w:kern w:val="0"/>
          <w:sz w:val="28"/>
        </w:rPr>
      </w:pPr>
      <w:r>
        <w:rPr>
          <w:rFonts w:hint="eastAsia" w:ascii="仿宋" w:hAnsi="仿宋" w:eastAsia="仿宋" w:cs="仿宋"/>
          <w:kern w:val="0"/>
          <w:sz w:val="28"/>
        </w:rPr>
        <w:t>从可行性角度来看，高等职业教育数字化战略优化实践建设项目得到了政府的大力支持，政策环境日益完善。同时，随着信息技术的不断发展，数字化平台的建设和维护成本逐渐降低，为项目的实施提供了有力的技术支撑。</w:t>
      </w:r>
    </w:p>
    <w:p>
      <w:pPr>
        <w:keepNext/>
        <w:keepLines/>
        <w:spacing w:line="540" w:lineRule="exact"/>
        <w:ind w:firstLine="562" w:firstLineChars="200"/>
        <w:outlineLvl w:val="3"/>
        <w:rPr>
          <w:rFonts w:ascii="Times New Roman" w:hAnsi="Times New Roman" w:eastAsia="仿宋"/>
          <w:b/>
          <w:sz w:val="28"/>
          <w:szCs w:val="28"/>
        </w:rPr>
      </w:pPr>
      <w:r>
        <w:rPr>
          <w:rFonts w:hint="eastAsia" w:ascii="Times New Roman" w:hAnsi="Times New Roman" w:eastAsia="仿宋"/>
          <w:b/>
          <w:sz w:val="28"/>
          <w:szCs w:val="28"/>
        </w:rPr>
        <w:t>（2）拟解决的关键问题</w:t>
      </w:r>
    </w:p>
    <w:p>
      <w:pPr>
        <w:spacing w:line="540" w:lineRule="exact"/>
        <w:ind w:firstLine="562" w:firstLineChars="200"/>
        <w:rPr>
          <w:rFonts w:ascii="仿宋" w:hAnsi="仿宋" w:eastAsia="仿宋" w:cs="仿宋"/>
          <w:kern w:val="0"/>
          <w:sz w:val="28"/>
        </w:rPr>
      </w:pPr>
      <w:r>
        <w:rPr>
          <w:rFonts w:hint="eastAsia" w:ascii="仿宋" w:hAnsi="仿宋" w:eastAsia="仿宋" w:cs="仿宋"/>
          <w:b/>
          <w:bCs/>
          <w:kern w:val="0"/>
          <w:sz w:val="28"/>
        </w:rPr>
        <w:t>平台集成与互通</w:t>
      </w:r>
      <w:r>
        <w:rPr>
          <w:rFonts w:hint="eastAsia" w:ascii="仿宋" w:hAnsi="仿宋" w:eastAsia="仿宋" w:cs="仿宋"/>
          <w:kern w:val="0"/>
          <w:sz w:val="28"/>
        </w:rPr>
        <w:t>：确保不同系统、平台间能够无缝集成，实现数据的互通与共享，打造一体化的教育生态。</w:t>
      </w:r>
    </w:p>
    <w:p>
      <w:pPr>
        <w:spacing w:line="540" w:lineRule="exact"/>
        <w:ind w:firstLine="562" w:firstLineChars="200"/>
        <w:rPr>
          <w:rFonts w:ascii="仿宋" w:hAnsi="仿宋" w:eastAsia="仿宋" w:cs="仿宋"/>
          <w:kern w:val="0"/>
          <w:sz w:val="28"/>
        </w:rPr>
      </w:pPr>
      <w:r>
        <w:rPr>
          <w:rFonts w:hint="eastAsia" w:ascii="仿宋" w:hAnsi="仿宋" w:eastAsia="仿宋" w:cs="仿宋"/>
          <w:b/>
          <w:bCs/>
          <w:kern w:val="0"/>
          <w:sz w:val="28"/>
        </w:rPr>
        <w:t>用户体验与互动：</w:t>
      </w:r>
      <w:r>
        <w:rPr>
          <w:rFonts w:hint="eastAsia" w:ascii="仿宋" w:hAnsi="仿宋" w:eastAsia="仿宋" w:cs="仿宋"/>
          <w:kern w:val="0"/>
          <w:sz w:val="28"/>
        </w:rPr>
        <w:t>优化用户界面设计，提供个性化的学习路径与推荐，同时构建互动社区，促进学习者之间的交流与合作。</w:t>
      </w:r>
    </w:p>
    <w:p>
      <w:pPr>
        <w:spacing w:line="540" w:lineRule="exact"/>
        <w:ind w:firstLine="562" w:firstLineChars="200"/>
        <w:rPr>
          <w:rFonts w:ascii="仿宋" w:hAnsi="仿宋" w:eastAsia="仿宋" w:cs="仿宋"/>
          <w:kern w:val="0"/>
          <w:sz w:val="28"/>
        </w:rPr>
      </w:pPr>
      <w:r>
        <w:rPr>
          <w:rFonts w:hint="eastAsia" w:ascii="仿宋" w:hAnsi="仿宋" w:eastAsia="仿宋" w:cs="仿宋"/>
          <w:b/>
          <w:bCs/>
          <w:kern w:val="0"/>
          <w:sz w:val="28"/>
        </w:rPr>
        <w:t>数据分析与智能决策：</w:t>
      </w:r>
      <w:r>
        <w:rPr>
          <w:rFonts w:hint="eastAsia" w:ascii="仿宋" w:hAnsi="仿宋" w:eastAsia="仿宋" w:cs="仿宋"/>
          <w:kern w:val="0"/>
          <w:sz w:val="28"/>
        </w:rPr>
        <w:t>利用大数据技术，深入分析用户学习行为，为教育决策提供数据支持，并为学生提供更精准的学习建议。</w:t>
      </w:r>
    </w:p>
    <w:p>
      <w:pPr>
        <w:spacing w:line="540" w:lineRule="exact"/>
        <w:ind w:firstLine="562" w:firstLineChars="200"/>
        <w:rPr>
          <w:rFonts w:ascii="仿宋" w:hAnsi="仿宋" w:eastAsia="仿宋" w:cs="仿宋"/>
          <w:kern w:val="0"/>
          <w:sz w:val="28"/>
        </w:rPr>
      </w:pPr>
      <w:r>
        <w:rPr>
          <w:rFonts w:hint="eastAsia" w:ascii="仿宋" w:hAnsi="仿宋" w:eastAsia="仿宋" w:cs="仿宋"/>
          <w:b/>
          <w:bCs/>
          <w:kern w:val="0"/>
          <w:sz w:val="28"/>
        </w:rPr>
        <w:t>安全与隐私保护：</w:t>
      </w:r>
      <w:r>
        <w:rPr>
          <w:rFonts w:hint="eastAsia" w:ascii="仿宋" w:hAnsi="仿宋" w:eastAsia="仿宋" w:cs="仿宋"/>
          <w:kern w:val="0"/>
          <w:sz w:val="28"/>
        </w:rPr>
        <w:t>确保平台数据的安全性，采用加密技术和安全协议保护用户隐私，建立信任机制。</w:t>
      </w:r>
    </w:p>
    <w:p>
      <w:pPr>
        <w:spacing w:line="540" w:lineRule="exact"/>
        <w:ind w:firstLine="562" w:firstLineChars="200"/>
        <w:rPr>
          <w:rFonts w:ascii="仿宋" w:hAnsi="仿宋" w:eastAsia="仿宋" w:cs="仿宋"/>
          <w:kern w:val="0"/>
          <w:sz w:val="28"/>
        </w:rPr>
      </w:pPr>
      <w:r>
        <w:rPr>
          <w:rFonts w:hint="eastAsia" w:ascii="仿宋" w:hAnsi="仿宋" w:eastAsia="仿宋" w:cs="仿宋"/>
          <w:b/>
          <w:bCs/>
          <w:kern w:val="0"/>
          <w:sz w:val="28"/>
        </w:rPr>
        <w:t>持续更新与维护：</w:t>
      </w:r>
      <w:r>
        <w:rPr>
          <w:rFonts w:hint="eastAsia" w:ascii="仿宋" w:hAnsi="仿宋" w:eastAsia="仿宋" w:cs="仿宋"/>
          <w:kern w:val="0"/>
          <w:sz w:val="28"/>
        </w:rPr>
        <w:t>平台需具备灵活性和可扩展性，以应对技术的快速迭代和教育需求的不断变化。</w:t>
      </w:r>
    </w:p>
    <w:p>
      <w:pPr>
        <w:spacing w:line="540" w:lineRule="exact"/>
        <w:ind w:firstLine="562" w:firstLineChars="200"/>
        <w:rPr>
          <w:rFonts w:ascii="仿宋" w:hAnsi="仿宋" w:eastAsia="仿宋" w:cs="仿宋"/>
          <w:kern w:val="0"/>
          <w:sz w:val="28"/>
        </w:rPr>
      </w:pPr>
      <w:r>
        <w:rPr>
          <w:rFonts w:hint="eastAsia" w:ascii="仿宋" w:hAnsi="仿宋" w:eastAsia="仿宋" w:cs="仿宋"/>
          <w:b/>
          <w:bCs/>
          <w:kern w:val="0"/>
          <w:sz w:val="28"/>
        </w:rPr>
        <w:t>教师培训与技术支持：</w:t>
      </w:r>
      <w:r>
        <w:rPr>
          <w:rFonts w:hint="eastAsia" w:ascii="仿宋" w:hAnsi="仿宋" w:eastAsia="仿宋" w:cs="仿宋"/>
          <w:kern w:val="0"/>
          <w:sz w:val="28"/>
        </w:rPr>
        <w:t>培养教师数字化教学能力，提供持续的技术支持和培训，确保数字化教学的有效实施。</w:t>
      </w:r>
    </w:p>
    <w:p>
      <w:pPr>
        <w:spacing w:line="540" w:lineRule="exact"/>
        <w:ind w:firstLine="562" w:firstLineChars="200"/>
        <w:rPr>
          <w:rFonts w:ascii="仿宋" w:hAnsi="仿宋" w:eastAsia="仿宋" w:cs="仿宋"/>
          <w:kern w:val="0"/>
          <w:sz w:val="28"/>
        </w:rPr>
      </w:pPr>
      <w:r>
        <w:rPr>
          <w:rFonts w:hint="eastAsia" w:ascii="仿宋" w:hAnsi="仿宋" w:eastAsia="仿宋" w:cs="仿宋"/>
          <w:b/>
          <w:bCs/>
          <w:kern w:val="0"/>
          <w:sz w:val="28"/>
        </w:rPr>
        <w:t>政策与法规遵循：</w:t>
      </w:r>
      <w:r>
        <w:rPr>
          <w:rFonts w:hint="eastAsia" w:ascii="仿宋" w:hAnsi="仿宋" w:eastAsia="仿宋" w:cs="仿宋"/>
          <w:kern w:val="0"/>
          <w:sz w:val="28"/>
        </w:rPr>
        <w:t>确保平台的建设与运营符合国家及地方相关政策和法规要求，促进合规发展。</w:t>
      </w:r>
    </w:p>
    <w:p>
      <w:pPr>
        <w:spacing w:line="540" w:lineRule="exact"/>
        <w:ind w:firstLine="560" w:firstLineChars="200"/>
        <w:rPr>
          <w:rFonts w:ascii="仿宋" w:hAnsi="仿宋" w:eastAsia="仿宋" w:cs="仿宋"/>
          <w:kern w:val="0"/>
          <w:sz w:val="28"/>
        </w:rPr>
      </w:pPr>
      <w:r>
        <w:rPr>
          <w:rFonts w:hint="eastAsia" w:ascii="仿宋" w:hAnsi="仿宋" w:eastAsia="仿宋" w:cs="仿宋"/>
          <w:kern w:val="0"/>
          <w:sz w:val="28"/>
        </w:rPr>
        <w:t>综上所述，高等职业教育数字化战略优化实践建设项目在推进互联网+教育大平台建设时，需从多个维度出发，综合考虑资源、技术、用户、安全、法规等多个方面，以确保平台建设的全面性和系统性，从而推动高等职业教育的数字化转型与创新发展。</w:t>
      </w:r>
    </w:p>
    <w:p>
      <w:pPr>
        <w:keepNext/>
        <w:keepLines/>
        <w:spacing w:line="540" w:lineRule="exact"/>
        <w:ind w:firstLine="562" w:firstLineChars="200"/>
        <w:outlineLvl w:val="3"/>
        <w:rPr>
          <w:rFonts w:ascii="Times New Roman" w:hAnsi="Times New Roman" w:eastAsia="仿宋"/>
          <w:b/>
          <w:sz w:val="28"/>
          <w:szCs w:val="28"/>
        </w:rPr>
      </w:pPr>
      <w:r>
        <w:rPr>
          <w:rFonts w:hint="eastAsia" w:ascii="Times New Roman" w:hAnsi="Times New Roman" w:eastAsia="仿宋"/>
          <w:b/>
          <w:sz w:val="28"/>
          <w:szCs w:val="28"/>
        </w:rPr>
        <w:t>（3）建设目标</w:t>
      </w:r>
    </w:p>
    <w:p>
      <w:pPr>
        <w:spacing w:line="540" w:lineRule="exact"/>
        <w:ind w:firstLine="536" w:firstLineChars="200"/>
        <w:rPr>
          <w:rFonts w:ascii="仿宋" w:hAnsi="仿宋" w:eastAsia="仿宋" w:cs="仿宋"/>
          <w:color w:val="000000" w:themeColor="text1"/>
          <w:kern w:val="0"/>
          <w:sz w:val="28"/>
          <w14:textFill>
            <w14:solidFill>
              <w14:schemeClr w14:val="tx1"/>
            </w14:solidFill>
          </w14:textFill>
        </w:rPr>
      </w:pPr>
      <w:r>
        <w:rPr>
          <w:rFonts w:hint="eastAsia" w:ascii="仿宋" w:hAnsi="仿宋" w:eastAsia="仿宋" w:cs="仿宋"/>
          <w:color w:val="000000" w:themeColor="text1"/>
          <w:spacing w:val="-6"/>
          <w:sz w:val="28"/>
          <w:szCs w:val="28"/>
          <w14:textFill>
            <w14:solidFill>
              <w14:schemeClr w14:val="tx1"/>
            </w14:solidFill>
          </w14:textFill>
        </w:rPr>
        <w:t>“5G+智慧校园”全面建成</w:t>
      </w:r>
      <w:r>
        <w:rPr>
          <w:rFonts w:hint="eastAsia" w:ascii="仿宋" w:hAnsi="仿宋" w:eastAsia="仿宋" w:cs="仿宋"/>
          <w:color w:val="000000" w:themeColor="text1"/>
          <w:kern w:val="0"/>
          <w:sz w:val="28"/>
          <w14:textFill>
            <w14:solidFill>
              <w14:schemeClr w14:val="tx1"/>
            </w14:solidFill>
          </w14:textFill>
        </w:rPr>
        <w:t>，</w:t>
      </w:r>
      <w:r>
        <w:rPr>
          <w:rFonts w:hint="eastAsia" w:ascii="仿宋" w:hAnsi="仿宋" w:eastAsia="仿宋" w:cs="仿宋"/>
          <w:color w:val="000000" w:themeColor="text1"/>
          <w:spacing w:val="1"/>
          <w:sz w:val="28"/>
          <w:szCs w:val="28"/>
          <w14:textFill>
            <w14:solidFill>
              <w14:schemeClr w14:val="tx1"/>
            </w14:solidFill>
          </w14:textFill>
        </w:rPr>
        <w:t>校园实现有线、无线一体化网络全覆盖，大力提升校园网基础设施建设水平，</w:t>
      </w:r>
      <w:r>
        <w:rPr>
          <w:rFonts w:hint="eastAsia" w:ascii="仿宋" w:hAnsi="仿宋" w:eastAsia="仿宋" w:cs="仿宋"/>
          <w:color w:val="000000" w:themeColor="text1"/>
          <w:kern w:val="0"/>
          <w:sz w:val="28"/>
          <w14:textFill>
            <w14:solidFill>
              <w14:schemeClr w14:val="tx1"/>
            </w14:solidFill>
          </w14:textFill>
        </w:rPr>
        <w:t>形成结构优化、集约高效、安全可靠的教育新型基础设施体系，营造网络化、数字化、个性化、泛在化的智慧教育环境。提高信息化应用水平、师生信息素养，进一步推进一体化智能化教学、科研、管理与服务的“互联网+教育”大平台建设。信息化制度体系较完善，信息系统实现优化整合，数据孤岛得以打通，“一网通办”深入普及，进而构建基于“互联网+大数据”、新一代人工智能等新兴技术的教育服务新模式。实现教育决策科学化、管理精准化、服务个性化水平全面提升，通过数字化校园的建设，为培养高技能应用型人才和服务社会搭建公共服务平台。</w:t>
      </w:r>
    </w:p>
    <w:p>
      <w:pPr>
        <w:keepNext/>
        <w:keepLines/>
        <w:spacing w:line="540" w:lineRule="exact"/>
        <w:ind w:firstLine="562" w:firstLineChars="200"/>
        <w:outlineLvl w:val="3"/>
        <w:rPr>
          <w:rFonts w:ascii="Times New Roman" w:hAnsi="Times New Roman" w:eastAsia="仿宋"/>
          <w:b/>
          <w:sz w:val="28"/>
          <w:szCs w:val="28"/>
        </w:rPr>
      </w:pPr>
      <w:r>
        <w:rPr>
          <w:rFonts w:hint="eastAsia" w:ascii="Times New Roman" w:hAnsi="Times New Roman" w:eastAsia="仿宋"/>
          <w:b/>
          <w:sz w:val="28"/>
          <w:szCs w:val="28"/>
        </w:rPr>
        <w:t>（4）重点建设任务</w:t>
      </w:r>
    </w:p>
    <w:p>
      <w:pPr>
        <w:spacing w:line="540" w:lineRule="exact"/>
        <w:ind w:firstLine="560" w:firstLineChars="200"/>
        <w:rPr>
          <w:rFonts w:ascii="仿宋" w:hAnsi="仿宋" w:eastAsia="仿宋" w:cs="仿宋"/>
          <w:kern w:val="0"/>
          <w:sz w:val="28"/>
        </w:rPr>
      </w:pPr>
      <w:r>
        <w:rPr>
          <w:rFonts w:hint="eastAsia" w:ascii="仿宋" w:hAnsi="仿宋" w:eastAsia="仿宋" w:cs="仿宋"/>
          <w:kern w:val="0"/>
          <w:sz w:val="28"/>
        </w:rPr>
        <w:t>以人为本，以智慧服务为导向，打造</w:t>
      </w:r>
      <w:r>
        <w:rPr>
          <w:rFonts w:hint="eastAsia" w:ascii="仿宋" w:hAnsi="仿宋" w:eastAsia="仿宋" w:cs="仿宋"/>
          <w:b/>
          <w:bCs/>
          <w:kern w:val="0"/>
          <w:sz w:val="28"/>
        </w:rPr>
        <w:t>“一心二行三通四特色”，实现七个一</w:t>
      </w:r>
      <w:r>
        <w:rPr>
          <w:rFonts w:hint="eastAsia" w:ascii="仿宋" w:hAnsi="仿宋" w:eastAsia="仿宋" w:cs="仿宋"/>
          <w:kern w:val="0"/>
          <w:sz w:val="28"/>
        </w:rPr>
        <w:t>，推动融合创新。一个核心：以应用为核心；两个先行：标准规范先行，业务重构和再造先行；三个打通：全校数据打通，全校业务打通，全校服务打通；四个特色：个人数据中心和个性化应用，大数据平台和大数据应用，服务导向和服务推送，智慧集成与智慧共享。实现“七”个一：“基础一平台”提高设备效益，“资源一平台”赋能人才培养，“校园一张网”夯实网络基础，“集成一总线”消除信息孤岛，“网上服务一站式”提升服务质效，“校园一个码”便捷校园生活，“办事一张表”打造智慧办事。</w:t>
      </w:r>
    </w:p>
    <w:p>
      <w:pPr>
        <w:keepNext/>
        <w:keepLines/>
        <w:spacing w:line="540" w:lineRule="exact"/>
        <w:ind w:firstLine="562" w:firstLineChars="200"/>
        <w:outlineLvl w:val="3"/>
        <w:rPr>
          <w:rFonts w:ascii="Times New Roman" w:hAnsi="Times New Roman" w:eastAsia="仿宋"/>
          <w:b/>
          <w:sz w:val="28"/>
          <w:szCs w:val="28"/>
        </w:rPr>
      </w:pPr>
      <w:r>
        <w:rPr>
          <w:rFonts w:hint="eastAsia" w:ascii="Times New Roman" w:hAnsi="Times New Roman" w:eastAsia="仿宋"/>
          <w:b/>
          <w:sz w:val="28"/>
          <w:szCs w:val="28"/>
        </w:rPr>
        <w:t>（5）建设计划</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2166"/>
        <w:gridCol w:w="3363"/>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lang w:eastAsia="en-US"/>
              </w:rPr>
            </w:pPr>
            <w:r>
              <w:rPr>
                <w:rFonts w:hint="eastAsia" w:ascii="仿宋" w:hAnsi="仿宋" w:eastAsia="仿宋" w:cs="仿宋"/>
                <w:b/>
                <w:bCs/>
                <w:color w:val="000000"/>
                <w:kern w:val="0"/>
                <w:szCs w:val="21"/>
                <w:lang w:eastAsia="en-US"/>
              </w:rPr>
              <w:t>年度</w:t>
            </w:r>
          </w:p>
        </w:tc>
        <w:tc>
          <w:tcPr>
            <w:tcW w:w="2166" w:type="dxa"/>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lang w:eastAsia="en-US"/>
              </w:rPr>
            </w:pPr>
            <w:r>
              <w:rPr>
                <w:rFonts w:hint="eastAsia" w:ascii="仿宋" w:hAnsi="仿宋" w:eastAsia="仿宋" w:cs="仿宋"/>
                <w:b/>
                <w:bCs/>
                <w:color w:val="000000"/>
                <w:kern w:val="0"/>
                <w:szCs w:val="21"/>
                <w:lang w:eastAsia="en-US"/>
              </w:rPr>
              <w:t>建设任务</w:t>
            </w:r>
          </w:p>
        </w:tc>
        <w:tc>
          <w:tcPr>
            <w:tcW w:w="3363" w:type="dxa"/>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lang w:eastAsia="en-US"/>
              </w:rPr>
            </w:pPr>
            <w:r>
              <w:rPr>
                <w:rFonts w:hint="eastAsia" w:ascii="仿宋" w:hAnsi="仿宋" w:eastAsia="仿宋" w:cs="仿宋"/>
                <w:b/>
                <w:bCs/>
                <w:color w:val="000000"/>
                <w:kern w:val="0"/>
                <w:szCs w:val="21"/>
                <w:lang w:eastAsia="en-US"/>
              </w:rPr>
              <w:t>建设内容</w:t>
            </w:r>
          </w:p>
        </w:tc>
        <w:tc>
          <w:tcPr>
            <w:tcW w:w="1559" w:type="dxa"/>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lang w:eastAsia="en-US"/>
              </w:rPr>
            </w:pPr>
            <w:r>
              <w:rPr>
                <w:rFonts w:hint="eastAsia" w:ascii="仿宋" w:hAnsi="仿宋" w:eastAsia="仿宋" w:cs="仿宋"/>
                <w:b/>
                <w:bCs/>
                <w:color w:val="000000"/>
                <w:kern w:val="0"/>
                <w:szCs w:val="21"/>
                <w:lang w:eastAsia="en-US"/>
              </w:rPr>
              <w:t>负责部门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restart"/>
            <w:vAlign w:val="center"/>
          </w:tcPr>
          <w:p>
            <w:pPr>
              <w:jc w:val="center"/>
              <w:rPr>
                <w:rFonts w:ascii="仿宋" w:hAnsi="仿宋" w:eastAsia="仿宋" w:cs="仿宋"/>
                <w:b/>
                <w:bCs/>
                <w:color w:val="000000"/>
                <w:szCs w:val="21"/>
              </w:rPr>
            </w:pPr>
            <w:r>
              <w:rPr>
                <w:rFonts w:hint="eastAsia" w:ascii="仿宋" w:hAnsi="仿宋" w:eastAsia="仿宋" w:cs="仿宋"/>
                <w:b/>
                <w:bCs/>
                <w:color w:val="000000"/>
                <w:szCs w:val="21"/>
              </w:rPr>
              <w:t>2023</w:t>
            </w:r>
          </w:p>
        </w:tc>
        <w:tc>
          <w:tcPr>
            <w:tcW w:w="2166"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夯实网络基础</w:t>
            </w:r>
          </w:p>
        </w:tc>
        <w:tc>
          <w:tcPr>
            <w:tcW w:w="3363" w:type="dxa"/>
            <w:vAlign w:val="center"/>
          </w:tcPr>
          <w:p>
            <w:pPr>
              <w:rPr>
                <w:rFonts w:ascii="仿宋" w:hAnsi="仿宋" w:eastAsia="仿宋" w:cs="仿宋"/>
                <w:color w:val="000000"/>
                <w:szCs w:val="21"/>
              </w:rPr>
            </w:pPr>
            <w:r>
              <w:rPr>
                <w:rFonts w:hint="eastAsia" w:ascii="仿宋" w:hAnsi="仿宋" w:eastAsia="仿宋" w:cs="仿宋"/>
                <w:color w:val="000000"/>
                <w:szCs w:val="21"/>
              </w:rPr>
              <w:t>基础设施更完善，“5G+智慧校园”全面建成，实现有线、无线网络全覆盖，校园资源、实施、师生的智慧高速全连接，大力提升校园网基础设施建设水平。</w:t>
            </w:r>
          </w:p>
        </w:tc>
        <w:tc>
          <w:tcPr>
            <w:tcW w:w="1559"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信息技术中心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continue"/>
            <w:vAlign w:val="center"/>
          </w:tcPr>
          <w:p>
            <w:pPr>
              <w:jc w:val="center"/>
              <w:rPr>
                <w:rFonts w:ascii="仿宋" w:hAnsi="仿宋" w:eastAsia="仿宋" w:cs="仿宋"/>
                <w:b/>
                <w:bCs/>
                <w:color w:val="000000"/>
                <w:szCs w:val="21"/>
              </w:rPr>
            </w:pPr>
          </w:p>
        </w:tc>
        <w:tc>
          <w:tcPr>
            <w:tcW w:w="2166"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制定制度汇编</w:t>
            </w:r>
          </w:p>
        </w:tc>
        <w:tc>
          <w:tcPr>
            <w:tcW w:w="3363" w:type="dxa"/>
            <w:vAlign w:val="center"/>
          </w:tcPr>
          <w:p>
            <w:pPr>
              <w:rPr>
                <w:rFonts w:ascii="仿宋" w:hAnsi="仿宋" w:eastAsia="仿宋" w:cs="仿宋"/>
                <w:color w:val="000000"/>
                <w:szCs w:val="21"/>
              </w:rPr>
            </w:pPr>
            <w:r>
              <w:rPr>
                <w:rFonts w:hint="eastAsia" w:ascii="仿宋" w:hAnsi="仿宋" w:eastAsia="仿宋" w:cs="仿宋"/>
                <w:color w:val="000000"/>
                <w:szCs w:val="21"/>
              </w:rPr>
              <w:t>继续修订完善重要制度</w:t>
            </w:r>
          </w:p>
        </w:tc>
        <w:tc>
          <w:tcPr>
            <w:tcW w:w="1559"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信息技术中心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continue"/>
            <w:vAlign w:val="center"/>
          </w:tcPr>
          <w:p>
            <w:pPr>
              <w:jc w:val="center"/>
              <w:rPr>
                <w:rFonts w:ascii="仿宋" w:hAnsi="仿宋" w:eastAsia="仿宋" w:cs="仿宋"/>
                <w:b/>
                <w:bCs/>
                <w:color w:val="000000"/>
                <w:szCs w:val="21"/>
              </w:rPr>
            </w:pPr>
          </w:p>
        </w:tc>
        <w:tc>
          <w:tcPr>
            <w:tcW w:w="2166"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多媒体升级改造</w:t>
            </w:r>
          </w:p>
        </w:tc>
        <w:tc>
          <w:tcPr>
            <w:tcW w:w="3363" w:type="dxa"/>
            <w:vAlign w:val="center"/>
          </w:tcPr>
          <w:p>
            <w:pPr>
              <w:rPr>
                <w:rFonts w:ascii="仿宋" w:hAnsi="仿宋" w:eastAsia="仿宋" w:cs="仿宋"/>
                <w:color w:val="000000"/>
                <w:szCs w:val="21"/>
              </w:rPr>
            </w:pPr>
            <w:r>
              <w:rPr>
                <w:rFonts w:hint="eastAsia" w:ascii="仿宋" w:hAnsi="仿宋" w:eastAsia="仿宋" w:cs="仿宋"/>
                <w:color w:val="000000"/>
                <w:szCs w:val="21"/>
              </w:rPr>
              <w:t>对一批旧的多媒体课室进行升级改造，建设一批专业型智慧课室，提升通用教室多媒体教学装备水平，支持互动反馈、高清直播录播等教学方式。</w:t>
            </w:r>
          </w:p>
        </w:tc>
        <w:tc>
          <w:tcPr>
            <w:tcW w:w="1559"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信息技术中心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restart"/>
            <w:vAlign w:val="center"/>
          </w:tcPr>
          <w:p>
            <w:pPr>
              <w:jc w:val="center"/>
              <w:rPr>
                <w:rFonts w:ascii="仿宋" w:hAnsi="仿宋" w:eastAsia="仿宋" w:cs="仿宋"/>
                <w:b/>
                <w:bCs/>
                <w:color w:val="000000"/>
                <w:szCs w:val="21"/>
              </w:rPr>
            </w:pPr>
            <w:r>
              <w:rPr>
                <w:rFonts w:hint="eastAsia" w:ascii="仿宋" w:hAnsi="仿宋" w:eastAsia="仿宋" w:cs="仿宋"/>
                <w:b/>
                <w:bCs/>
                <w:color w:val="000000"/>
                <w:szCs w:val="21"/>
              </w:rPr>
              <w:t>2024</w:t>
            </w:r>
          </w:p>
        </w:tc>
        <w:tc>
          <w:tcPr>
            <w:tcW w:w="2166"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标准规范先行，业务重构和再造先行</w:t>
            </w:r>
          </w:p>
        </w:tc>
        <w:tc>
          <w:tcPr>
            <w:tcW w:w="3363" w:type="dxa"/>
            <w:vAlign w:val="center"/>
          </w:tcPr>
          <w:p>
            <w:pPr>
              <w:rPr>
                <w:rFonts w:ascii="仿宋" w:hAnsi="仿宋" w:eastAsia="仿宋" w:cs="仿宋"/>
                <w:color w:val="000000"/>
                <w:szCs w:val="21"/>
              </w:rPr>
            </w:pPr>
            <w:r>
              <w:rPr>
                <w:rFonts w:hint="eastAsia" w:ascii="仿宋" w:hAnsi="仿宋" w:eastAsia="仿宋" w:cs="仿宋"/>
                <w:color w:val="000000"/>
                <w:szCs w:val="21"/>
              </w:rPr>
              <w:t>完善数据中心架构，提高资源供给能力和利用效率。</w:t>
            </w:r>
          </w:p>
        </w:tc>
        <w:tc>
          <w:tcPr>
            <w:tcW w:w="1559"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信息技术中心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continue"/>
            <w:vAlign w:val="center"/>
          </w:tcPr>
          <w:p>
            <w:pPr>
              <w:jc w:val="center"/>
              <w:rPr>
                <w:rFonts w:ascii="仿宋" w:hAnsi="仿宋" w:eastAsia="仿宋" w:cs="仿宋"/>
                <w:b/>
                <w:bCs/>
                <w:color w:val="000000"/>
                <w:szCs w:val="21"/>
              </w:rPr>
            </w:pPr>
          </w:p>
        </w:tc>
        <w:tc>
          <w:tcPr>
            <w:tcW w:w="2166"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打造智慧办事</w:t>
            </w:r>
          </w:p>
        </w:tc>
        <w:tc>
          <w:tcPr>
            <w:tcW w:w="3363" w:type="dxa"/>
            <w:vAlign w:val="center"/>
          </w:tcPr>
          <w:p>
            <w:pPr>
              <w:rPr>
                <w:rFonts w:ascii="仿宋" w:hAnsi="仿宋" w:eastAsia="仿宋" w:cs="仿宋"/>
                <w:color w:val="000000"/>
                <w:szCs w:val="21"/>
              </w:rPr>
            </w:pPr>
            <w:r>
              <w:rPr>
                <w:rFonts w:hint="eastAsia" w:ascii="仿宋" w:hAnsi="仿宋" w:eastAsia="仿宋" w:cs="仿宋"/>
                <w:color w:val="000000"/>
                <w:szCs w:val="21"/>
              </w:rPr>
              <w:t>业务应用上台阶，建设数据中台，实现数据共享，互通，实现各业务系统深度整合，提升教育治理能力。实现教育管理服务“一网通办”，流程再造上服务，完成至少5个线上服务，服务体验明显提升。</w:t>
            </w:r>
          </w:p>
        </w:tc>
        <w:tc>
          <w:tcPr>
            <w:tcW w:w="1559"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信息技术中心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restart"/>
            <w:vAlign w:val="center"/>
          </w:tcPr>
          <w:p>
            <w:pPr>
              <w:jc w:val="center"/>
              <w:rPr>
                <w:rFonts w:ascii="仿宋" w:hAnsi="仿宋" w:eastAsia="仿宋" w:cs="仿宋"/>
                <w:b/>
                <w:bCs/>
                <w:color w:val="000000"/>
                <w:szCs w:val="21"/>
              </w:rPr>
            </w:pPr>
            <w:r>
              <w:rPr>
                <w:rFonts w:hint="eastAsia" w:ascii="仿宋" w:hAnsi="仿宋" w:eastAsia="仿宋" w:cs="仿宋"/>
                <w:b/>
                <w:bCs/>
                <w:color w:val="000000"/>
                <w:szCs w:val="21"/>
              </w:rPr>
              <w:t>2025</w:t>
            </w:r>
          </w:p>
        </w:tc>
        <w:tc>
          <w:tcPr>
            <w:tcW w:w="2166"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全校数据打通，全校业务打通，全校服务打通</w:t>
            </w:r>
          </w:p>
        </w:tc>
        <w:tc>
          <w:tcPr>
            <w:tcW w:w="3363" w:type="dxa"/>
            <w:vAlign w:val="center"/>
          </w:tcPr>
          <w:p>
            <w:pPr>
              <w:rPr>
                <w:rFonts w:ascii="仿宋" w:hAnsi="仿宋" w:eastAsia="仿宋" w:cs="仿宋"/>
                <w:color w:val="000000"/>
                <w:szCs w:val="21"/>
              </w:rPr>
            </w:pPr>
            <w:r>
              <w:rPr>
                <w:rFonts w:hint="eastAsia" w:ascii="仿宋" w:hAnsi="仿宋" w:eastAsia="仿宋" w:cs="仿宋"/>
                <w:color w:val="000000"/>
                <w:szCs w:val="21"/>
              </w:rPr>
              <w:t>升级建设智慧教学设施、智慧科研设施和智慧公共设施，促进物理空间与网络空间一体化建设。深入应用5G、物联网、AI、大数据等新一代信息技术建设节能、绿色、安全校园。</w:t>
            </w:r>
          </w:p>
        </w:tc>
        <w:tc>
          <w:tcPr>
            <w:tcW w:w="1559"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信息技术中心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continue"/>
            <w:vAlign w:val="center"/>
          </w:tcPr>
          <w:p>
            <w:pPr>
              <w:jc w:val="center"/>
              <w:rPr>
                <w:rFonts w:ascii="仿宋" w:hAnsi="仿宋" w:eastAsia="仿宋" w:cs="仿宋"/>
                <w:color w:val="000000"/>
                <w:szCs w:val="21"/>
              </w:rPr>
            </w:pPr>
          </w:p>
        </w:tc>
        <w:tc>
          <w:tcPr>
            <w:tcW w:w="2166"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全面提升师生信息素养</w:t>
            </w:r>
          </w:p>
        </w:tc>
        <w:tc>
          <w:tcPr>
            <w:tcW w:w="3363" w:type="dxa"/>
            <w:vAlign w:val="center"/>
          </w:tcPr>
          <w:p>
            <w:pPr>
              <w:rPr>
                <w:rFonts w:ascii="仿宋" w:hAnsi="仿宋" w:eastAsia="仿宋" w:cs="仿宋"/>
                <w:color w:val="000000"/>
                <w:szCs w:val="21"/>
              </w:rPr>
            </w:pPr>
            <w:r>
              <w:rPr>
                <w:rFonts w:hint="eastAsia" w:ascii="仿宋" w:hAnsi="仿宋" w:eastAsia="仿宋" w:cs="仿宋"/>
                <w:color w:val="000000"/>
                <w:szCs w:val="21"/>
              </w:rPr>
              <w:t>全面深化网络学习空间应用，100%师生利用学习空间辅助教学和学习，促进信息技术与教育教学实践深度融合。</w:t>
            </w:r>
          </w:p>
        </w:tc>
        <w:tc>
          <w:tcPr>
            <w:tcW w:w="1559"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信息技术中心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continue"/>
            <w:vAlign w:val="center"/>
          </w:tcPr>
          <w:p>
            <w:pPr>
              <w:jc w:val="center"/>
              <w:rPr>
                <w:rFonts w:ascii="仿宋" w:hAnsi="仿宋" w:eastAsia="仿宋" w:cs="仿宋"/>
                <w:color w:val="000000"/>
                <w:szCs w:val="21"/>
              </w:rPr>
            </w:pPr>
          </w:p>
        </w:tc>
        <w:tc>
          <w:tcPr>
            <w:tcW w:w="2166"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安全体系更健全</w:t>
            </w:r>
          </w:p>
        </w:tc>
        <w:tc>
          <w:tcPr>
            <w:tcW w:w="3363" w:type="dxa"/>
            <w:vAlign w:val="center"/>
          </w:tcPr>
          <w:p>
            <w:pPr>
              <w:rPr>
                <w:rFonts w:ascii="仿宋" w:hAnsi="仿宋" w:eastAsia="仿宋" w:cs="仿宋"/>
                <w:color w:val="000000"/>
                <w:szCs w:val="21"/>
              </w:rPr>
            </w:pPr>
            <w:r>
              <w:rPr>
                <w:rFonts w:hint="eastAsia" w:ascii="仿宋" w:hAnsi="仿宋" w:eastAsia="仿宋" w:cs="仿宋"/>
                <w:color w:val="000000"/>
                <w:szCs w:val="21"/>
              </w:rPr>
              <w:t>提高网络与信息安全风险管控和安全事件应急处置能力。有效感知网络安全威胁，强化网络安全监管与舆情监控。100%信息系统落实国家网络安全等级保护2.0要求。</w:t>
            </w:r>
          </w:p>
        </w:tc>
        <w:tc>
          <w:tcPr>
            <w:tcW w:w="1559"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信息技术中心</w:t>
            </w:r>
          </w:p>
        </w:tc>
      </w:tr>
    </w:tbl>
    <w:p>
      <w:pPr>
        <w:keepNext/>
        <w:keepLines/>
        <w:spacing w:line="540" w:lineRule="exact"/>
        <w:ind w:firstLine="562" w:firstLineChars="200"/>
        <w:outlineLvl w:val="3"/>
        <w:rPr>
          <w:rFonts w:ascii="Times New Roman" w:hAnsi="Times New Roman" w:eastAsia="仿宋"/>
          <w:b/>
          <w:sz w:val="28"/>
          <w:szCs w:val="28"/>
        </w:rPr>
      </w:pPr>
      <w:r>
        <w:rPr>
          <w:rFonts w:hint="eastAsia" w:ascii="Times New Roman" w:hAnsi="Times New Roman" w:eastAsia="仿宋"/>
          <w:b/>
          <w:sz w:val="28"/>
          <w:szCs w:val="28"/>
        </w:rPr>
        <w:t>（6）预期成效及资金测算</w:t>
      </w:r>
    </w:p>
    <w:tbl>
      <w:tblPr>
        <w:tblStyle w:val="16"/>
        <w:tblW w:w="4998" w:type="pct"/>
        <w:jc w:val="center"/>
        <w:tblLayout w:type="autofit"/>
        <w:tblCellMar>
          <w:top w:w="15" w:type="dxa"/>
          <w:left w:w="15" w:type="dxa"/>
          <w:bottom w:w="15" w:type="dxa"/>
          <w:right w:w="15" w:type="dxa"/>
        </w:tblCellMar>
      </w:tblPr>
      <w:tblGrid>
        <w:gridCol w:w="1029"/>
        <w:gridCol w:w="2102"/>
        <w:gridCol w:w="2764"/>
        <w:gridCol w:w="874"/>
        <w:gridCol w:w="727"/>
        <w:gridCol w:w="837"/>
      </w:tblGrid>
      <w:tr>
        <w:tblPrEx>
          <w:tblCellMar>
            <w:top w:w="15" w:type="dxa"/>
            <w:left w:w="15" w:type="dxa"/>
            <w:bottom w:w="15" w:type="dxa"/>
            <w:right w:w="15" w:type="dxa"/>
          </w:tblCellMar>
        </w:tblPrEx>
        <w:trPr>
          <w:trHeight w:val="301" w:hRule="atLeast"/>
          <w:jc w:val="center"/>
        </w:trPr>
        <w:tc>
          <w:tcPr>
            <w:tcW w:w="618" w:type="pct"/>
            <w:vMerge w:val="restart"/>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rPr>
              <w:t>项目名称</w:t>
            </w:r>
          </w:p>
        </w:tc>
        <w:tc>
          <w:tcPr>
            <w:tcW w:w="1261" w:type="pct"/>
            <w:vMerge w:val="restart"/>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rPr>
              <w:t>主要建设内容</w:t>
            </w:r>
          </w:p>
        </w:tc>
        <w:tc>
          <w:tcPr>
            <w:tcW w:w="1658" w:type="pct"/>
            <w:vMerge w:val="restart"/>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rPr>
              <w:t>预期建设成效</w:t>
            </w:r>
          </w:p>
        </w:tc>
        <w:tc>
          <w:tcPr>
            <w:tcW w:w="1462" w:type="pct"/>
            <w:gridSpan w:val="3"/>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rPr>
              <w:t>建设资金安排表（万元）</w:t>
            </w:r>
          </w:p>
        </w:tc>
      </w:tr>
      <w:tr>
        <w:tblPrEx>
          <w:tblCellMar>
            <w:top w:w="15" w:type="dxa"/>
            <w:left w:w="15" w:type="dxa"/>
            <w:bottom w:w="15" w:type="dxa"/>
            <w:right w:w="15" w:type="dxa"/>
          </w:tblCellMar>
        </w:tblPrEx>
        <w:trPr>
          <w:trHeight w:val="286" w:hRule="atLeast"/>
          <w:jc w:val="center"/>
        </w:trPr>
        <w:tc>
          <w:tcPr>
            <w:tcW w:w="618" w:type="pct"/>
            <w:vMerge w:val="continue"/>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jc w:val="center"/>
              <w:rPr>
                <w:rFonts w:ascii="仿宋" w:hAnsi="仿宋" w:eastAsia="仿宋" w:cs="仿宋"/>
                <w:b/>
                <w:bCs/>
                <w:color w:val="000000"/>
                <w:szCs w:val="21"/>
              </w:rPr>
            </w:pPr>
          </w:p>
        </w:tc>
        <w:tc>
          <w:tcPr>
            <w:tcW w:w="1261" w:type="pct"/>
            <w:vMerge w:val="continue"/>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rPr>
                <w:rFonts w:ascii="仿宋" w:hAnsi="仿宋" w:eastAsia="仿宋" w:cs="仿宋"/>
                <w:b/>
                <w:bCs/>
                <w:color w:val="000000"/>
                <w:szCs w:val="21"/>
              </w:rPr>
            </w:pPr>
          </w:p>
        </w:tc>
        <w:tc>
          <w:tcPr>
            <w:tcW w:w="1658" w:type="pct"/>
            <w:vMerge w:val="continue"/>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rPr>
                <w:rFonts w:ascii="仿宋" w:hAnsi="仿宋" w:eastAsia="仿宋" w:cs="仿宋"/>
                <w:b/>
                <w:bCs/>
                <w:color w:val="000000"/>
                <w:szCs w:val="21"/>
              </w:rPr>
            </w:pPr>
          </w:p>
        </w:tc>
        <w:tc>
          <w:tcPr>
            <w:tcW w:w="524" w:type="pct"/>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kern w:val="0"/>
                <w:szCs w:val="21"/>
              </w:rPr>
            </w:pPr>
            <w:r>
              <w:rPr>
                <w:rFonts w:hint="eastAsia" w:ascii="仿宋" w:hAnsi="仿宋" w:eastAsia="仿宋" w:cs="仿宋"/>
                <w:b/>
                <w:bCs/>
                <w:color w:val="000000"/>
                <w:kern w:val="0"/>
                <w:szCs w:val="21"/>
              </w:rPr>
              <w:t>2023年</w:t>
            </w:r>
          </w:p>
        </w:tc>
        <w:tc>
          <w:tcPr>
            <w:tcW w:w="436" w:type="pct"/>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kern w:val="0"/>
                <w:szCs w:val="21"/>
              </w:rPr>
            </w:pPr>
            <w:r>
              <w:rPr>
                <w:rFonts w:hint="eastAsia" w:ascii="仿宋" w:hAnsi="仿宋" w:eastAsia="仿宋" w:cs="仿宋"/>
                <w:b/>
                <w:bCs/>
                <w:color w:val="000000"/>
                <w:kern w:val="0"/>
                <w:szCs w:val="21"/>
              </w:rPr>
              <w:t>2024年</w:t>
            </w:r>
          </w:p>
        </w:tc>
        <w:tc>
          <w:tcPr>
            <w:tcW w:w="501" w:type="pct"/>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rPr>
              <w:t>2025年</w:t>
            </w:r>
          </w:p>
        </w:tc>
      </w:tr>
      <w:tr>
        <w:tblPrEx>
          <w:tblCellMar>
            <w:top w:w="15" w:type="dxa"/>
            <w:left w:w="15" w:type="dxa"/>
            <w:bottom w:w="15" w:type="dxa"/>
            <w:right w:w="15" w:type="dxa"/>
          </w:tblCellMar>
        </w:tblPrEx>
        <w:trPr>
          <w:trHeight w:val="450" w:hRule="atLeast"/>
          <w:jc w:val="center"/>
        </w:trPr>
        <w:tc>
          <w:tcPr>
            <w:tcW w:w="618" w:type="pct"/>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仿宋"/>
                <w:color w:val="000000"/>
                <w:szCs w:val="21"/>
              </w:rPr>
            </w:pPr>
            <w:r>
              <w:rPr>
                <w:rFonts w:hint="eastAsia" w:ascii="仿宋" w:hAnsi="仿宋" w:eastAsia="仿宋" w:cs="仿宋"/>
                <w:b/>
                <w:bCs/>
                <w:color w:val="000000"/>
                <w:szCs w:val="21"/>
              </w:rPr>
              <w:t>数字化建设项目</w:t>
            </w:r>
          </w:p>
        </w:tc>
        <w:tc>
          <w:tcPr>
            <w:tcW w:w="1261" w:type="pct"/>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仿宋"/>
                <w:color w:val="000000"/>
                <w:szCs w:val="21"/>
              </w:rPr>
            </w:pPr>
            <w:r>
              <w:rPr>
                <w:rFonts w:hint="eastAsia" w:ascii="仿宋" w:hAnsi="仿宋" w:eastAsia="仿宋" w:cs="仿宋"/>
                <w:color w:val="000000"/>
                <w:szCs w:val="21"/>
              </w:rPr>
              <w:t>完善校园网基础设施建设，基本形成结构优化、集约高效、安全可靠的教育新型基础设施体系，营造网络化、数字化、个性化、泛在化的智慧教育环境。提高信息化应用水平、提高师生信息素养，推进一体化智能化教学、科研、管理与服务的“互联网+教育”大平台建设。</w:t>
            </w:r>
          </w:p>
        </w:tc>
        <w:tc>
          <w:tcPr>
            <w:tcW w:w="1658" w:type="pct"/>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仿宋"/>
                <w:color w:val="000000"/>
                <w:szCs w:val="21"/>
              </w:rPr>
            </w:pPr>
            <w:r>
              <w:rPr>
                <w:rFonts w:hint="eastAsia" w:ascii="仿宋" w:hAnsi="仿宋" w:eastAsia="仿宋" w:cs="仿宋"/>
                <w:color w:val="000000" w:themeColor="text1"/>
                <w:szCs w:val="21"/>
                <w14:textFill>
                  <w14:solidFill>
                    <w14:schemeClr w14:val="tx1"/>
                  </w14:solidFill>
                </w14:textFill>
              </w:rPr>
              <w:t>“5G+智慧校园”全面建成，实现有线、无线网络全覆盖，校园资源、实施、师生的智慧高速全连接，大力提升校园网基础设施建设水平，构建智慧、可控的新型信息基础设施，启动“人工智能+教师队伍建设行动”，实现教育管理服务“一网通办”，流程再造上服务，完成至少5个线上服务。100%信息系统落实国家网络安全等级保护2.0要求。</w:t>
            </w:r>
          </w:p>
        </w:tc>
        <w:tc>
          <w:tcPr>
            <w:tcW w:w="524" w:type="pct"/>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Cs w:val="21"/>
              </w:rPr>
            </w:pPr>
            <w:r>
              <w:rPr>
                <w:rFonts w:hint="eastAsia" w:ascii="仿宋" w:hAnsi="仿宋" w:eastAsia="仿宋" w:cs="仿宋"/>
                <w:color w:val="000000"/>
                <w:szCs w:val="21"/>
              </w:rPr>
              <w:t>200</w:t>
            </w:r>
          </w:p>
        </w:tc>
        <w:tc>
          <w:tcPr>
            <w:tcW w:w="436" w:type="pct"/>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Cs w:val="21"/>
              </w:rPr>
            </w:pPr>
            <w:r>
              <w:rPr>
                <w:rFonts w:hint="eastAsia" w:ascii="仿宋" w:hAnsi="仿宋" w:eastAsia="仿宋" w:cs="仿宋"/>
                <w:color w:val="000000"/>
                <w:szCs w:val="21"/>
              </w:rPr>
              <w:t>250</w:t>
            </w:r>
          </w:p>
        </w:tc>
        <w:tc>
          <w:tcPr>
            <w:tcW w:w="501" w:type="pct"/>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Cs w:val="21"/>
              </w:rPr>
            </w:pPr>
            <w:r>
              <w:rPr>
                <w:rFonts w:hint="eastAsia" w:ascii="仿宋" w:hAnsi="仿宋" w:eastAsia="仿宋" w:cs="仿宋"/>
                <w:color w:val="000000"/>
                <w:szCs w:val="21"/>
              </w:rPr>
              <w:t>500</w:t>
            </w:r>
          </w:p>
        </w:tc>
      </w:tr>
    </w:tbl>
    <w:p/>
    <w:p>
      <w:pPr>
        <w:pStyle w:val="3"/>
        <w:ind w:firstLine="643"/>
      </w:pPr>
      <w:bookmarkStart w:id="79" w:name="_Toc164347860"/>
      <w:r>
        <w:rPr>
          <w:rFonts w:hint="eastAsia"/>
        </w:rPr>
        <w:t>（八）对外交流与合作项目</w:t>
      </w:r>
      <w:bookmarkEnd w:id="79"/>
    </w:p>
    <w:p>
      <w:pPr>
        <w:pStyle w:val="5"/>
        <w:ind w:firstLine="562"/>
      </w:pPr>
      <w:r>
        <w:rPr>
          <w:rFonts w:hint="eastAsia"/>
        </w:rPr>
        <w:t>（1）必要性和可行性</w:t>
      </w:r>
    </w:p>
    <w:p>
      <w:pPr>
        <w:spacing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职业教育国际化是对国家新时代大发展的积极响应。“一带一路”倡议的有效推进，为职业教育国际化发展创造了历史机遇；《国家职业教育改革发展实施意见》为新时代职业教育的国际化发展提供了基本遵循；《粤港澳大湾区发展规划纲要》为具有地缘优势、历史优势和基础优势的学校职业国际化发展带来了新的发展契机。作为省属唯一国家示范性高等职业院校、全国“双高”高职院校建设单位，顺</w:t>
      </w:r>
    </w:p>
    <w:p>
      <w:pPr>
        <w:spacing w:line="540" w:lineRule="exact"/>
        <w:rPr>
          <w:rFonts w:ascii="仿宋" w:hAnsi="仿宋" w:eastAsia="仿宋" w:cs="仿宋"/>
          <w:bCs/>
          <w:sz w:val="28"/>
          <w:szCs w:val="28"/>
        </w:rPr>
      </w:pPr>
      <w:r>
        <w:rPr>
          <w:rFonts w:hint="eastAsia" w:ascii="仿宋" w:hAnsi="仿宋" w:eastAsia="仿宋" w:cs="仿宋"/>
          <w:bCs/>
          <w:sz w:val="28"/>
          <w:szCs w:val="28"/>
        </w:rPr>
        <w:t>应国家发展的大趋势，积极推进职业教育国际化，已经成为学校实现创新发展和高质量发展的战略方向。职业教育国际化发展符合广东省经济发展需求。广东省经济贸易对外依存度高，进出口贸易份额占全国重要地位，伴随着经济全球化的进一步发展，广东省教育国际化的要求更加凸显，强烈且迫切地需要构建更加开放合作新格局，接续提升外向型经济发展水平，加快解决经济社会发展中国际化人才不足的短板问题。因此，亟需在人才培养中树立国际化理念，建立、健全国际化人才的培养体制机制，提高教育教学的国际化水平。</w:t>
      </w:r>
    </w:p>
    <w:p>
      <w:pPr>
        <w:spacing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加强对外交流与合作符合学校发展的总体规划和现实需要。学校一直实施开放办学战略，进行“引进来”和“走出去”双向发力，在探索国际化办学的道路上已经积累了丰富经验；学校在引进并开发数字化国际课程，建设国际化课程资源库，拓展境外实习基地、技能培训中心等方面已经奠定了良好基础；学校能够依托“广东‘一带一路’职教联盟”、粤港澳数字创意职业教育产教联盟建设、粤港澳大湾区产业发展研究中心、粤港澳跨境电商产教融合联盟等平台，继续聚集优质职教资源，助推学校实现轻工特色职业教育的战略发展。</w:t>
      </w:r>
    </w:p>
    <w:p>
      <w:pPr>
        <w:pStyle w:val="5"/>
        <w:ind w:firstLine="562"/>
      </w:pPr>
      <w:r>
        <w:rPr>
          <w:rFonts w:hint="eastAsia"/>
        </w:rPr>
        <w:t>（2）拟解决的关键问题</w:t>
      </w:r>
    </w:p>
    <w:p>
      <w:pPr>
        <w:spacing w:line="560" w:lineRule="exact"/>
        <w:ind w:firstLine="560" w:firstLineChars="200"/>
        <w:rPr>
          <w:rFonts w:ascii="仿宋" w:hAnsi="仿宋" w:eastAsia="仿宋" w:cs="仿宋"/>
          <w:bCs/>
          <w:sz w:val="28"/>
          <w:szCs w:val="28"/>
        </w:rPr>
      </w:pPr>
      <w:r>
        <w:rPr>
          <w:rFonts w:hint="eastAsia" w:ascii="仿宋" w:hAnsi="仿宋" w:eastAsia="仿宋" w:cs="仿宋"/>
          <w:bCs/>
          <w:sz w:val="28"/>
          <w:szCs w:val="28"/>
        </w:rPr>
        <w:t>融通平台，主动嫁接，以点带面、消化吸收、形成特色。拓宽渠道，强化国际化院校建设基础；加强与香港、澳门及其他“一带一路”沿线国家职业院校和教育机构合作，寻求建立优势互补、强强联合的中外合作办学格局，推动电子信息专业与国外院校的标杆专业进行对接合作。引建共举，开发重建一流课程；大力服务中国“走出去”企业，为涉外企业提供人力和技术支撑。双向互动，扩大师生学术文化交流；依托网络，打造语言文化推广品牌。</w:t>
      </w:r>
    </w:p>
    <w:p>
      <w:pPr>
        <w:pStyle w:val="5"/>
        <w:ind w:firstLine="562"/>
      </w:pPr>
      <w:r>
        <w:rPr>
          <w:rFonts w:hint="eastAsia"/>
        </w:rPr>
        <w:t>（3）建设目标</w:t>
      </w:r>
    </w:p>
    <w:p>
      <w:pPr>
        <w:spacing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服务国家对外开放战略，紧跟国际电子信息产业发展趋势，通过“请进来”和“走出去”相结合方式，紧抓“一带一路”国际合作重大发展机遇，充分利用和整合省内外优质职业院校中外合作办学资源，构建电子信息产业国（境）外合作办学、学分互认、国际职业资格认证、师生交流、国际师资队伍建设等国际化合作平台，培养一批具有中国情怀、国际视野、国际意识的学生。</w:t>
      </w:r>
    </w:p>
    <w:p>
      <w:pPr>
        <w:pStyle w:val="5"/>
        <w:ind w:firstLine="562"/>
      </w:pPr>
      <w:r>
        <w:rPr>
          <w:rFonts w:hint="eastAsia"/>
        </w:rPr>
        <w:t>（4）重点建设任务</w:t>
      </w:r>
    </w:p>
    <w:p>
      <w:pPr>
        <w:spacing w:line="540" w:lineRule="exact"/>
        <w:ind w:firstLine="562" w:firstLineChars="200"/>
        <w:rPr>
          <w:rFonts w:ascii="仿宋" w:hAnsi="仿宋" w:eastAsia="仿宋" w:cs="仿宋"/>
          <w:b/>
          <w:sz w:val="28"/>
          <w:szCs w:val="28"/>
        </w:rPr>
      </w:pPr>
      <w:r>
        <w:rPr>
          <w:rFonts w:hint="eastAsia" w:ascii="仿宋" w:hAnsi="仿宋" w:eastAsia="仿宋" w:cs="仿宋"/>
          <w:b/>
          <w:sz w:val="28"/>
          <w:szCs w:val="28"/>
        </w:rPr>
        <w:t>① 加强与省内外优质高校合作，主动嫁接成熟中外合作办学项目</w:t>
      </w:r>
    </w:p>
    <w:p>
      <w:pPr>
        <w:spacing w:line="540" w:lineRule="exact"/>
        <w:ind w:firstLine="560" w:firstLineChars="200"/>
        <w:rPr>
          <w:rFonts w:ascii="仿宋" w:hAnsi="仿宋" w:eastAsia="仿宋" w:cs="仿宋"/>
          <w:sz w:val="28"/>
          <w:szCs w:val="28"/>
        </w:rPr>
      </w:pPr>
      <w:r>
        <w:rPr>
          <w:rFonts w:hint="eastAsia" w:ascii="仿宋" w:hAnsi="仿宋" w:eastAsia="仿宋" w:cs="仿宋"/>
          <w:bCs/>
          <w:sz w:val="28"/>
          <w:szCs w:val="28"/>
        </w:rPr>
        <w:t>加强与广东省高等教</w:t>
      </w:r>
      <w:r>
        <w:rPr>
          <w:rFonts w:hint="eastAsia" w:ascii="仿宋" w:hAnsi="仿宋" w:eastAsia="仿宋" w:cs="仿宋"/>
          <w:sz w:val="28"/>
          <w:szCs w:val="28"/>
        </w:rPr>
        <w:t>育学会中外合作办学研究分会、粤港澳高校联盟、粤港澳大湾区职业教育产教联盟、广东省“一带一路”职教联盟、粤港澳大湾区孔子学院合作大学联盟深度合作。密切与上述成员单位联系，结合自身办学定位和专业特色，选取优秀中外合作办学项目，主动实现中外合作办学嫁接，尽快建成2个中外合作办学项目。</w:t>
      </w:r>
    </w:p>
    <w:p>
      <w:pPr>
        <w:spacing w:line="540" w:lineRule="exact"/>
        <w:ind w:firstLine="562" w:firstLineChars="200"/>
        <w:rPr>
          <w:rFonts w:ascii="仿宋" w:hAnsi="仿宋" w:eastAsia="仿宋" w:cs="仿宋"/>
          <w:b/>
          <w:sz w:val="28"/>
          <w:szCs w:val="28"/>
        </w:rPr>
      </w:pPr>
      <w:r>
        <w:rPr>
          <w:rFonts w:ascii="仿宋" w:hAnsi="仿宋" w:eastAsia="仿宋" w:cs="仿宋"/>
          <w:b/>
          <w:sz w:val="28"/>
          <w:szCs w:val="28"/>
        </w:rPr>
        <w:t>②</w:t>
      </w:r>
      <w:r>
        <w:rPr>
          <w:rFonts w:hint="eastAsia" w:ascii="仿宋" w:hAnsi="仿宋" w:eastAsia="仿宋" w:cs="仿宋"/>
          <w:b/>
          <w:sz w:val="28"/>
          <w:szCs w:val="28"/>
        </w:rPr>
        <w:t>总结与香港、澳门学校科研合作和交流经验，构建成熟师生交流项目</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总结与澳门科技大学、香港高等教育科技学院合作经验，加强与香港高中学校联系，联合香港、澳门相关院校、企业，共同构建成熟的师生交流项目，提升学校教师科研水平和学校对外交流能力。</w:t>
      </w:r>
    </w:p>
    <w:p>
      <w:pPr>
        <w:spacing w:line="540" w:lineRule="exact"/>
        <w:ind w:firstLine="562" w:firstLineChars="200"/>
        <w:rPr>
          <w:rFonts w:ascii="仿宋" w:hAnsi="仿宋" w:eastAsia="仿宋" w:cs="仿宋"/>
          <w:b/>
          <w:sz w:val="28"/>
          <w:szCs w:val="28"/>
        </w:rPr>
      </w:pPr>
      <w:r>
        <w:rPr>
          <w:rFonts w:ascii="仿宋" w:hAnsi="仿宋" w:eastAsia="仿宋" w:cs="仿宋"/>
          <w:b/>
          <w:sz w:val="28"/>
          <w:szCs w:val="28"/>
        </w:rPr>
        <w:t>③</w:t>
      </w:r>
      <w:r>
        <w:rPr>
          <w:rFonts w:hint="eastAsia" w:ascii="仿宋" w:hAnsi="仿宋" w:eastAsia="仿宋" w:cs="仿宋"/>
          <w:b/>
          <w:sz w:val="28"/>
          <w:szCs w:val="28"/>
        </w:rPr>
        <w:t>承接“走出去”合作企业员工技术技能培训和技术服务</w:t>
      </w:r>
    </w:p>
    <w:p>
      <w:pPr>
        <w:widowControl/>
        <w:topLinePunct/>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与TCL、德赛集团、亿纬锂能、利元亨、欣旺达等20多家跨国企业加强产教合作，探索“终身教育”国际化模式，加大力度承接“走出去”合作企业的海外当地员工技术技能培训和中国境外企业员工来华进行“定制式”技术技能培训和继续教育。</w:t>
      </w:r>
    </w:p>
    <w:p>
      <w:pPr>
        <w:widowControl/>
        <w:topLinePunct/>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与其他</w:t>
      </w:r>
      <w:r>
        <w:rPr>
          <w:rFonts w:hint="eastAsia" w:ascii="仿宋" w:hAnsi="仿宋" w:eastAsia="仿宋" w:cs="仿宋"/>
          <w:bCs/>
          <w:sz w:val="28"/>
          <w:szCs w:val="28"/>
        </w:rPr>
        <w:t>高职院合作建设1个境外“鲁班工坊”，引进推行1—2个国际职业资格认证标准。鼓励专业教师积极参与合作企业境外的技术服务，输送品学兼优学生赴境参与“一带一路”沿线国家的基础工程建设，实现人才和技术“走出去”，提升国际影响力。到2025年，为电子信息产业培养</w:t>
      </w:r>
      <w:r>
        <w:rPr>
          <w:rFonts w:hint="eastAsia" w:ascii="仿宋" w:hAnsi="仿宋" w:eastAsia="仿宋" w:cs="仿宋"/>
          <w:bCs/>
          <w:sz w:val="28"/>
          <w:szCs w:val="28"/>
          <w:lang w:eastAsia="zh-CN"/>
        </w:rPr>
        <w:t>持有</w:t>
      </w:r>
      <w:r>
        <w:rPr>
          <w:rFonts w:hint="eastAsia" w:ascii="仿宋" w:hAnsi="仿宋" w:eastAsia="仿宋" w:cs="仿宋"/>
          <w:bCs/>
          <w:sz w:val="28"/>
          <w:szCs w:val="28"/>
        </w:rPr>
        <w:t>国际职业资格证书的“双证书”学生达500人以上。对“一带一路”沿线国家的当地中资</w:t>
      </w:r>
      <w:r>
        <w:rPr>
          <w:rFonts w:hint="eastAsia" w:ascii="仿宋" w:hAnsi="仿宋" w:eastAsia="仿宋" w:cs="仿宋"/>
          <w:sz w:val="28"/>
          <w:szCs w:val="28"/>
        </w:rPr>
        <w:t>企业员工进行技术技能培训1000人日。</w:t>
      </w:r>
    </w:p>
    <w:p>
      <w:pPr>
        <w:spacing w:line="540" w:lineRule="exact"/>
        <w:ind w:firstLine="562" w:firstLineChars="200"/>
        <w:rPr>
          <w:rFonts w:ascii="仿宋" w:hAnsi="仿宋" w:eastAsia="仿宋" w:cs="仿宋"/>
          <w:b/>
          <w:sz w:val="28"/>
          <w:szCs w:val="28"/>
        </w:rPr>
      </w:pPr>
      <w:r>
        <w:rPr>
          <w:rFonts w:hint="eastAsia" w:ascii="仿宋" w:hAnsi="仿宋" w:eastAsia="仿宋" w:cs="仿宋"/>
          <w:b/>
          <w:sz w:val="28"/>
          <w:szCs w:val="28"/>
        </w:rPr>
        <w:t>④ 打造中华优秀传统文化对外输出平台</w:t>
      </w:r>
    </w:p>
    <w:p>
      <w:pPr>
        <w:topLinePunct/>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依托留学生招生及培养，打造富有惠州特色的中华优秀传统文化——客家文化的对外输出平台。借助社团活动、团委活动、选修课、名师讲座等活动方式，向留学生传播包括客家方言、客家民俗、客家饮食等多方位客家物质精神文化；鼓励留学生主动参与建设校园网站对外之窗，借助短视频、H5等新媒体形式，使用汉语和英语或留学生本国语言，多语言打造弘扬客家文化的自媒体平台，创新中华优秀传统文化的对外传播方式。</w:t>
      </w:r>
    </w:p>
    <w:p>
      <w:pPr>
        <w:widowControl/>
        <w:topLinePunct/>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利用信息技术开展线上对外培训资源建设，依托学校网站，利用AR/VR等技术，打造慕课、金课、微课等精品在线课程3门，大力推广虚拟学习工厂等，开发系统线上对外培训课程资源，实现线上无国界实时学习和培训。</w:t>
      </w:r>
    </w:p>
    <w:p>
      <w:pPr>
        <w:pStyle w:val="5"/>
        <w:ind w:firstLine="562"/>
      </w:pPr>
      <w:r>
        <w:rPr>
          <w:rFonts w:hint="eastAsia"/>
        </w:rPr>
        <w:t>（5）建设计划</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2166"/>
        <w:gridCol w:w="3363"/>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lang w:eastAsia="en-US"/>
              </w:rPr>
            </w:pPr>
            <w:r>
              <w:rPr>
                <w:rFonts w:hint="eastAsia" w:ascii="仿宋" w:hAnsi="仿宋" w:eastAsia="仿宋" w:cs="仿宋"/>
                <w:b/>
                <w:bCs/>
                <w:color w:val="000000"/>
                <w:kern w:val="0"/>
                <w:szCs w:val="21"/>
                <w:lang w:eastAsia="en-US"/>
              </w:rPr>
              <w:t>年度</w:t>
            </w:r>
          </w:p>
        </w:tc>
        <w:tc>
          <w:tcPr>
            <w:tcW w:w="2166" w:type="dxa"/>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lang w:eastAsia="en-US"/>
              </w:rPr>
            </w:pPr>
            <w:r>
              <w:rPr>
                <w:rFonts w:hint="eastAsia" w:ascii="仿宋" w:hAnsi="仿宋" w:eastAsia="仿宋" w:cs="仿宋"/>
                <w:b/>
                <w:bCs/>
                <w:color w:val="000000"/>
                <w:kern w:val="0"/>
                <w:szCs w:val="21"/>
                <w:lang w:eastAsia="en-US"/>
              </w:rPr>
              <w:t>建设任务</w:t>
            </w:r>
          </w:p>
        </w:tc>
        <w:tc>
          <w:tcPr>
            <w:tcW w:w="3363" w:type="dxa"/>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lang w:eastAsia="en-US"/>
              </w:rPr>
            </w:pPr>
            <w:r>
              <w:rPr>
                <w:rFonts w:hint="eastAsia" w:ascii="仿宋" w:hAnsi="仿宋" w:eastAsia="仿宋" w:cs="仿宋"/>
                <w:b/>
                <w:bCs/>
                <w:color w:val="000000"/>
                <w:kern w:val="0"/>
                <w:szCs w:val="21"/>
                <w:lang w:eastAsia="en-US"/>
              </w:rPr>
              <w:t>建设内容</w:t>
            </w:r>
          </w:p>
        </w:tc>
        <w:tc>
          <w:tcPr>
            <w:tcW w:w="1559" w:type="dxa"/>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lang w:eastAsia="en-US"/>
              </w:rPr>
            </w:pPr>
            <w:r>
              <w:rPr>
                <w:rFonts w:hint="eastAsia" w:ascii="仿宋" w:hAnsi="仿宋" w:eastAsia="仿宋" w:cs="仿宋"/>
                <w:b/>
                <w:bCs/>
                <w:color w:val="000000"/>
                <w:kern w:val="0"/>
                <w:szCs w:val="21"/>
                <w:lang w:eastAsia="en-US"/>
              </w:rPr>
              <w:t>负责部门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restart"/>
            <w:vAlign w:val="center"/>
          </w:tcPr>
          <w:p>
            <w:pPr>
              <w:jc w:val="center"/>
              <w:rPr>
                <w:rFonts w:ascii="仿宋" w:hAnsi="仿宋" w:eastAsia="仿宋" w:cs="仿宋"/>
                <w:b/>
                <w:bCs/>
                <w:color w:val="000000"/>
                <w:szCs w:val="21"/>
              </w:rPr>
            </w:pPr>
            <w:r>
              <w:rPr>
                <w:rFonts w:hint="eastAsia" w:ascii="仿宋" w:hAnsi="仿宋" w:eastAsia="仿宋" w:cs="仿宋"/>
                <w:b/>
                <w:bCs/>
                <w:color w:val="000000"/>
                <w:szCs w:val="21"/>
              </w:rPr>
              <w:t>2023</w:t>
            </w:r>
          </w:p>
        </w:tc>
        <w:tc>
          <w:tcPr>
            <w:tcW w:w="2166" w:type="dxa"/>
            <w:vAlign w:val="center"/>
          </w:tcPr>
          <w:p>
            <w:pPr>
              <w:jc w:val="center"/>
              <w:rPr>
                <w:rFonts w:ascii="仿宋" w:hAnsi="仿宋" w:eastAsia="仿宋" w:cs="仿宋"/>
                <w:color w:val="000000"/>
                <w:szCs w:val="21"/>
              </w:rPr>
            </w:pPr>
            <w:r>
              <w:rPr>
                <w:rFonts w:ascii="仿宋" w:hAnsi="仿宋" w:eastAsia="仿宋" w:cs="仿宋"/>
                <w:color w:val="000000"/>
                <w:szCs w:val="21"/>
              </w:rPr>
              <w:t>香港高中生社会公民科内地交流项目</w:t>
            </w:r>
          </w:p>
        </w:tc>
        <w:tc>
          <w:tcPr>
            <w:tcW w:w="3363" w:type="dxa"/>
            <w:vAlign w:val="center"/>
          </w:tcPr>
          <w:p>
            <w:pPr>
              <w:rPr>
                <w:rFonts w:ascii="仿宋" w:hAnsi="仿宋" w:eastAsia="仿宋" w:cs="仿宋"/>
                <w:color w:val="000000"/>
                <w:szCs w:val="21"/>
              </w:rPr>
            </w:pPr>
            <w:r>
              <w:rPr>
                <w:rFonts w:ascii="仿宋" w:hAnsi="仿宋" w:eastAsia="仿宋" w:cs="仿宋"/>
                <w:color w:val="000000"/>
                <w:szCs w:val="21"/>
              </w:rPr>
              <w:t>按照省教育厅要求，高质量做好</w:t>
            </w:r>
            <w:r>
              <w:rPr>
                <w:rFonts w:hint="eastAsia" w:ascii="仿宋" w:hAnsi="仿宋" w:eastAsia="仿宋" w:cs="仿宋"/>
                <w:color w:val="000000"/>
                <w:szCs w:val="21"/>
              </w:rPr>
              <w:t>2023年</w:t>
            </w:r>
            <w:r>
              <w:rPr>
                <w:rFonts w:ascii="仿宋" w:hAnsi="仿宋" w:eastAsia="仿宋" w:cs="仿宋"/>
                <w:color w:val="000000"/>
                <w:szCs w:val="21"/>
              </w:rPr>
              <w:t>香港高中生社会公民科内地交流项目</w:t>
            </w:r>
          </w:p>
        </w:tc>
        <w:tc>
          <w:tcPr>
            <w:tcW w:w="1559" w:type="dxa"/>
            <w:vAlign w:val="center"/>
          </w:tcPr>
          <w:p>
            <w:pPr>
              <w:jc w:val="center"/>
              <w:rPr>
                <w:rFonts w:ascii="仿宋" w:hAnsi="仿宋" w:eastAsia="仿宋" w:cs="仿宋"/>
                <w:color w:val="000000"/>
                <w:szCs w:val="21"/>
              </w:rPr>
            </w:pPr>
            <w:r>
              <w:rPr>
                <w:rFonts w:ascii="仿宋" w:hAnsi="仿宋" w:eastAsia="仿宋" w:cs="仿宋"/>
                <w:color w:val="000000"/>
                <w:szCs w:val="21"/>
              </w:rPr>
              <w:t>发展规划处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continue"/>
            <w:vAlign w:val="center"/>
          </w:tcPr>
          <w:p>
            <w:pPr>
              <w:jc w:val="center"/>
              <w:rPr>
                <w:rFonts w:ascii="仿宋" w:hAnsi="仿宋" w:eastAsia="仿宋" w:cs="仿宋"/>
                <w:b/>
                <w:bCs/>
                <w:color w:val="000000"/>
                <w:szCs w:val="21"/>
              </w:rPr>
            </w:pPr>
          </w:p>
        </w:tc>
        <w:tc>
          <w:tcPr>
            <w:tcW w:w="2166" w:type="dxa"/>
            <w:vAlign w:val="center"/>
          </w:tcPr>
          <w:p>
            <w:pPr>
              <w:jc w:val="center"/>
              <w:rPr>
                <w:rFonts w:ascii="仿宋" w:hAnsi="仿宋" w:eastAsia="仿宋" w:cs="仿宋"/>
                <w:color w:val="000000"/>
                <w:szCs w:val="21"/>
              </w:rPr>
            </w:pPr>
            <w:r>
              <w:rPr>
                <w:rFonts w:ascii="仿宋" w:hAnsi="仿宋" w:eastAsia="仿宋" w:cs="仿宋"/>
                <w:color w:val="000000"/>
                <w:szCs w:val="21"/>
              </w:rPr>
              <w:t>澳门科技大学科研合作项目</w:t>
            </w:r>
          </w:p>
        </w:tc>
        <w:tc>
          <w:tcPr>
            <w:tcW w:w="3363" w:type="dxa"/>
            <w:vAlign w:val="center"/>
          </w:tcPr>
          <w:p>
            <w:pPr>
              <w:rPr>
                <w:rFonts w:ascii="仿宋" w:hAnsi="仿宋" w:eastAsia="仿宋" w:cs="仿宋"/>
                <w:color w:val="000000"/>
                <w:szCs w:val="21"/>
              </w:rPr>
            </w:pPr>
            <w:r>
              <w:rPr>
                <w:rFonts w:ascii="仿宋" w:hAnsi="仿宋" w:eastAsia="仿宋" w:cs="仿宋"/>
                <w:color w:val="000000"/>
                <w:szCs w:val="21"/>
              </w:rPr>
              <w:t>持续做好学校与澳门科技大学共同开展“澳科一号”卫星项目</w:t>
            </w:r>
          </w:p>
        </w:tc>
        <w:tc>
          <w:tcPr>
            <w:tcW w:w="1559" w:type="dxa"/>
            <w:vAlign w:val="center"/>
          </w:tcPr>
          <w:p>
            <w:pPr>
              <w:jc w:val="center"/>
              <w:rPr>
                <w:rFonts w:ascii="仿宋" w:hAnsi="仿宋" w:eastAsia="仿宋" w:cs="仿宋"/>
                <w:color w:val="000000"/>
                <w:szCs w:val="21"/>
              </w:rPr>
            </w:pPr>
            <w:r>
              <w:rPr>
                <w:rFonts w:ascii="仿宋" w:hAnsi="仿宋" w:eastAsia="仿宋" w:cs="仿宋"/>
                <w:color w:val="000000"/>
                <w:szCs w:val="21"/>
              </w:rPr>
              <w:t>发展规划处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continue"/>
            <w:vAlign w:val="center"/>
          </w:tcPr>
          <w:p>
            <w:pPr>
              <w:jc w:val="center"/>
              <w:rPr>
                <w:rFonts w:ascii="仿宋" w:hAnsi="仿宋" w:eastAsia="仿宋" w:cs="仿宋"/>
                <w:b/>
                <w:bCs/>
                <w:color w:val="000000"/>
                <w:szCs w:val="21"/>
              </w:rPr>
            </w:pPr>
          </w:p>
        </w:tc>
        <w:tc>
          <w:tcPr>
            <w:tcW w:w="2166" w:type="dxa"/>
            <w:vAlign w:val="center"/>
          </w:tcPr>
          <w:p>
            <w:pPr>
              <w:jc w:val="center"/>
              <w:rPr>
                <w:rFonts w:ascii="仿宋" w:hAnsi="仿宋" w:eastAsia="仿宋" w:cs="仿宋"/>
                <w:color w:val="000000"/>
                <w:szCs w:val="21"/>
              </w:rPr>
            </w:pPr>
            <w:r>
              <w:rPr>
                <w:rFonts w:ascii="仿宋" w:hAnsi="仿宋" w:eastAsia="仿宋" w:cs="仿宋"/>
                <w:color w:val="000000"/>
                <w:szCs w:val="21"/>
              </w:rPr>
              <w:t>冈比亚畜牧兽医职业标准制定项目</w:t>
            </w:r>
          </w:p>
        </w:tc>
        <w:tc>
          <w:tcPr>
            <w:tcW w:w="3363" w:type="dxa"/>
            <w:vAlign w:val="center"/>
          </w:tcPr>
          <w:p>
            <w:pPr>
              <w:rPr>
                <w:rFonts w:ascii="仿宋" w:hAnsi="仿宋" w:eastAsia="仿宋" w:cs="仿宋"/>
                <w:color w:val="000000"/>
                <w:szCs w:val="21"/>
              </w:rPr>
            </w:pPr>
            <w:r>
              <w:rPr>
                <w:rFonts w:ascii="仿宋" w:hAnsi="仿宋" w:eastAsia="仿宋" w:cs="仿宋"/>
                <w:color w:val="000000"/>
                <w:szCs w:val="21"/>
              </w:rPr>
              <w:t>做好冈比亚畜牧兽医职业标准制定工作</w:t>
            </w:r>
          </w:p>
        </w:tc>
        <w:tc>
          <w:tcPr>
            <w:tcW w:w="1559" w:type="dxa"/>
            <w:vAlign w:val="center"/>
          </w:tcPr>
          <w:p>
            <w:pPr>
              <w:jc w:val="center"/>
              <w:rPr>
                <w:rFonts w:ascii="仿宋" w:hAnsi="仿宋" w:eastAsia="仿宋" w:cs="仿宋"/>
                <w:color w:val="000000"/>
                <w:szCs w:val="21"/>
              </w:rPr>
            </w:pPr>
            <w:r>
              <w:rPr>
                <w:rFonts w:ascii="仿宋" w:hAnsi="仿宋" w:eastAsia="仿宋" w:cs="仿宋"/>
                <w:color w:val="000000"/>
                <w:szCs w:val="21"/>
              </w:rPr>
              <w:t>发展规划处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restart"/>
            <w:vAlign w:val="center"/>
          </w:tcPr>
          <w:p>
            <w:pPr>
              <w:jc w:val="center"/>
              <w:rPr>
                <w:rFonts w:ascii="仿宋" w:hAnsi="仿宋" w:eastAsia="仿宋" w:cs="仿宋"/>
                <w:b/>
                <w:bCs/>
                <w:color w:val="000000"/>
                <w:szCs w:val="21"/>
              </w:rPr>
            </w:pPr>
            <w:r>
              <w:rPr>
                <w:rFonts w:hint="eastAsia" w:ascii="仿宋" w:hAnsi="仿宋" w:eastAsia="仿宋" w:cs="仿宋"/>
                <w:b/>
                <w:bCs/>
                <w:color w:val="000000"/>
                <w:szCs w:val="21"/>
              </w:rPr>
              <w:t>2024</w:t>
            </w:r>
          </w:p>
        </w:tc>
        <w:tc>
          <w:tcPr>
            <w:tcW w:w="2166" w:type="dxa"/>
            <w:vAlign w:val="center"/>
          </w:tcPr>
          <w:p>
            <w:pPr>
              <w:jc w:val="center"/>
              <w:rPr>
                <w:rFonts w:ascii="仿宋" w:hAnsi="仿宋" w:eastAsia="仿宋" w:cs="仿宋"/>
                <w:bCs/>
                <w:color w:val="000000"/>
                <w:szCs w:val="21"/>
              </w:rPr>
            </w:pPr>
            <w:r>
              <w:rPr>
                <w:rFonts w:hint="eastAsia" w:ascii="仿宋" w:hAnsi="仿宋" w:eastAsia="仿宋" w:cs="仿宋"/>
                <w:bCs/>
                <w:color w:val="000000"/>
                <w:szCs w:val="21"/>
              </w:rPr>
              <w:t>加强与省内外优质高校合作，主动嫁接成熟中外合作办学项目</w:t>
            </w:r>
          </w:p>
          <w:p>
            <w:pPr>
              <w:jc w:val="center"/>
              <w:rPr>
                <w:rFonts w:ascii="仿宋" w:hAnsi="仿宋" w:eastAsia="仿宋" w:cs="仿宋"/>
                <w:color w:val="000000"/>
                <w:szCs w:val="21"/>
              </w:rPr>
            </w:pPr>
          </w:p>
        </w:tc>
        <w:tc>
          <w:tcPr>
            <w:tcW w:w="3363" w:type="dxa"/>
            <w:vAlign w:val="center"/>
          </w:tcPr>
          <w:p>
            <w:pPr>
              <w:rPr>
                <w:rFonts w:ascii="仿宋" w:hAnsi="仿宋" w:eastAsia="仿宋" w:cs="仿宋"/>
                <w:color w:val="000000"/>
                <w:szCs w:val="21"/>
              </w:rPr>
            </w:pPr>
            <w:r>
              <w:rPr>
                <w:rFonts w:hint="eastAsia" w:ascii="仿宋" w:hAnsi="仿宋" w:eastAsia="仿宋" w:cs="仿宋"/>
                <w:color w:val="000000"/>
                <w:szCs w:val="21"/>
              </w:rPr>
              <w:t>密切与上述成员单位联系，结合自身办学定位和专业特色，选取优秀中外合作办学项目，主动实现中外合作办学嫁接，尽快建成2个中外合作办学项目。</w:t>
            </w:r>
          </w:p>
        </w:tc>
        <w:tc>
          <w:tcPr>
            <w:tcW w:w="1559" w:type="dxa"/>
            <w:vAlign w:val="center"/>
          </w:tcPr>
          <w:p>
            <w:pPr>
              <w:jc w:val="center"/>
              <w:rPr>
                <w:rFonts w:ascii="仿宋" w:hAnsi="仿宋" w:eastAsia="仿宋" w:cs="仿宋"/>
                <w:color w:val="000000"/>
                <w:szCs w:val="21"/>
              </w:rPr>
            </w:pPr>
            <w:r>
              <w:rPr>
                <w:rFonts w:ascii="仿宋" w:hAnsi="仿宋" w:eastAsia="仿宋" w:cs="仿宋"/>
                <w:color w:val="000000"/>
                <w:szCs w:val="21"/>
              </w:rPr>
              <w:t>发展规划处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continue"/>
            <w:vAlign w:val="center"/>
          </w:tcPr>
          <w:p>
            <w:pPr>
              <w:jc w:val="center"/>
              <w:rPr>
                <w:rFonts w:ascii="仿宋" w:hAnsi="仿宋" w:eastAsia="仿宋" w:cs="仿宋"/>
                <w:b/>
                <w:bCs/>
                <w:color w:val="000000"/>
                <w:szCs w:val="21"/>
              </w:rPr>
            </w:pPr>
          </w:p>
        </w:tc>
        <w:tc>
          <w:tcPr>
            <w:tcW w:w="2166" w:type="dxa"/>
            <w:vAlign w:val="center"/>
          </w:tcPr>
          <w:p>
            <w:pPr>
              <w:jc w:val="center"/>
              <w:rPr>
                <w:rFonts w:ascii="仿宋" w:hAnsi="仿宋" w:eastAsia="仿宋" w:cs="仿宋"/>
                <w:bCs/>
                <w:color w:val="000000"/>
                <w:szCs w:val="21"/>
              </w:rPr>
            </w:pPr>
            <w:r>
              <w:rPr>
                <w:rFonts w:hint="eastAsia" w:ascii="仿宋" w:hAnsi="仿宋" w:eastAsia="仿宋" w:cs="仿宋"/>
                <w:bCs/>
                <w:color w:val="000000"/>
                <w:szCs w:val="21"/>
              </w:rPr>
              <w:t>承接“走出去”合作企业员工技术技能培训和技术服务</w:t>
            </w:r>
          </w:p>
        </w:tc>
        <w:tc>
          <w:tcPr>
            <w:tcW w:w="3363" w:type="dxa"/>
            <w:vAlign w:val="center"/>
          </w:tcPr>
          <w:p>
            <w:pPr>
              <w:rPr>
                <w:rFonts w:ascii="仿宋" w:hAnsi="仿宋" w:eastAsia="仿宋" w:cs="仿宋"/>
                <w:color w:val="000000"/>
                <w:szCs w:val="21"/>
              </w:rPr>
            </w:pPr>
            <w:r>
              <w:rPr>
                <w:rFonts w:hint="eastAsia" w:ascii="仿宋" w:hAnsi="仿宋" w:eastAsia="仿宋" w:cs="仿宋"/>
                <w:color w:val="000000"/>
                <w:szCs w:val="21"/>
              </w:rPr>
              <w:t>与TCL、德赛集团、亿纬锂能、利元亨、欣旺达等20多家跨国企业加强产教合作，尝试“教随产出”。</w:t>
            </w:r>
          </w:p>
        </w:tc>
        <w:tc>
          <w:tcPr>
            <w:tcW w:w="1559" w:type="dxa"/>
            <w:vAlign w:val="center"/>
          </w:tcPr>
          <w:p>
            <w:pPr>
              <w:jc w:val="center"/>
              <w:rPr>
                <w:rFonts w:ascii="仿宋" w:hAnsi="仿宋" w:eastAsia="仿宋" w:cs="仿宋"/>
                <w:color w:val="000000"/>
                <w:szCs w:val="21"/>
              </w:rPr>
            </w:pPr>
            <w:r>
              <w:rPr>
                <w:rFonts w:ascii="仿宋" w:hAnsi="仿宋" w:eastAsia="仿宋" w:cs="仿宋"/>
                <w:color w:val="000000"/>
                <w:szCs w:val="21"/>
              </w:rPr>
              <w:t>发展规划处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continue"/>
            <w:vAlign w:val="center"/>
          </w:tcPr>
          <w:p>
            <w:pPr>
              <w:jc w:val="center"/>
              <w:rPr>
                <w:rFonts w:ascii="仿宋" w:hAnsi="仿宋" w:eastAsia="仿宋" w:cs="仿宋"/>
                <w:b/>
                <w:bCs/>
                <w:color w:val="000000"/>
                <w:szCs w:val="21"/>
              </w:rPr>
            </w:pPr>
          </w:p>
        </w:tc>
        <w:tc>
          <w:tcPr>
            <w:tcW w:w="2166" w:type="dxa"/>
            <w:vAlign w:val="center"/>
          </w:tcPr>
          <w:p>
            <w:pPr>
              <w:jc w:val="center"/>
              <w:rPr>
                <w:rFonts w:ascii="仿宋" w:hAnsi="仿宋" w:eastAsia="仿宋" w:cs="仿宋"/>
                <w:color w:val="000000"/>
                <w:szCs w:val="21"/>
              </w:rPr>
            </w:pPr>
            <w:r>
              <w:rPr>
                <w:rFonts w:ascii="仿宋" w:hAnsi="仿宋" w:eastAsia="仿宋" w:cs="仿宋"/>
                <w:color w:val="000000"/>
                <w:szCs w:val="21"/>
              </w:rPr>
              <w:t>澳门科技大学科研合作项目</w:t>
            </w:r>
          </w:p>
        </w:tc>
        <w:tc>
          <w:tcPr>
            <w:tcW w:w="3363" w:type="dxa"/>
            <w:vAlign w:val="center"/>
          </w:tcPr>
          <w:p>
            <w:pPr>
              <w:rPr>
                <w:rFonts w:ascii="仿宋" w:hAnsi="仿宋" w:eastAsia="仿宋" w:cs="仿宋"/>
                <w:color w:val="000000"/>
                <w:szCs w:val="21"/>
              </w:rPr>
            </w:pPr>
            <w:r>
              <w:rPr>
                <w:rFonts w:ascii="仿宋" w:hAnsi="仿宋" w:eastAsia="仿宋" w:cs="仿宋"/>
                <w:color w:val="000000"/>
                <w:szCs w:val="21"/>
              </w:rPr>
              <w:t>持续做好学校与澳门科技大学共同开展“澳科一号”卫星项目</w:t>
            </w:r>
          </w:p>
        </w:tc>
        <w:tc>
          <w:tcPr>
            <w:tcW w:w="1559" w:type="dxa"/>
            <w:vAlign w:val="center"/>
          </w:tcPr>
          <w:p>
            <w:pPr>
              <w:jc w:val="center"/>
              <w:rPr>
                <w:rFonts w:ascii="仿宋" w:hAnsi="仿宋" w:eastAsia="仿宋" w:cs="仿宋"/>
                <w:color w:val="000000"/>
                <w:szCs w:val="21"/>
              </w:rPr>
            </w:pPr>
            <w:r>
              <w:rPr>
                <w:rFonts w:ascii="仿宋" w:hAnsi="仿宋" w:eastAsia="仿宋" w:cs="仿宋"/>
                <w:color w:val="000000"/>
                <w:szCs w:val="21"/>
              </w:rPr>
              <w:t>发展规划处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continue"/>
            <w:vAlign w:val="center"/>
          </w:tcPr>
          <w:p>
            <w:pPr>
              <w:jc w:val="center"/>
              <w:rPr>
                <w:rFonts w:ascii="仿宋" w:hAnsi="仿宋" w:eastAsia="仿宋" w:cs="仿宋"/>
                <w:b/>
                <w:bCs/>
                <w:color w:val="000000"/>
                <w:szCs w:val="21"/>
              </w:rPr>
            </w:pPr>
          </w:p>
        </w:tc>
        <w:tc>
          <w:tcPr>
            <w:tcW w:w="2166" w:type="dxa"/>
            <w:vAlign w:val="center"/>
          </w:tcPr>
          <w:p>
            <w:pPr>
              <w:jc w:val="center"/>
              <w:rPr>
                <w:rFonts w:ascii="仿宋" w:hAnsi="仿宋" w:eastAsia="仿宋" w:cs="仿宋"/>
                <w:color w:val="000000"/>
                <w:szCs w:val="21"/>
              </w:rPr>
            </w:pPr>
            <w:r>
              <w:rPr>
                <w:rFonts w:ascii="仿宋" w:hAnsi="仿宋" w:eastAsia="仿宋" w:cs="仿宋"/>
                <w:color w:val="000000"/>
                <w:szCs w:val="21"/>
              </w:rPr>
              <w:t>香港高中生社会公民科内地交流项目</w:t>
            </w:r>
          </w:p>
        </w:tc>
        <w:tc>
          <w:tcPr>
            <w:tcW w:w="3363" w:type="dxa"/>
            <w:vAlign w:val="center"/>
          </w:tcPr>
          <w:p>
            <w:pPr>
              <w:rPr>
                <w:rFonts w:ascii="仿宋" w:hAnsi="仿宋" w:eastAsia="仿宋" w:cs="仿宋"/>
                <w:color w:val="000000"/>
                <w:szCs w:val="21"/>
              </w:rPr>
            </w:pPr>
            <w:r>
              <w:rPr>
                <w:rFonts w:ascii="仿宋" w:hAnsi="仿宋" w:eastAsia="仿宋" w:cs="仿宋"/>
                <w:color w:val="000000"/>
                <w:szCs w:val="21"/>
              </w:rPr>
              <w:t>按照省教育厅要求，高质量做好</w:t>
            </w:r>
            <w:r>
              <w:rPr>
                <w:rFonts w:hint="eastAsia" w:ascii="仿宋" w:hAnsi="仿宋" w:eastAsia="仿宋" w:cs="仿宋"/>
                <w:color w:val="000000"/>
                <w:szCs w:val="21"/>
              </w:rPr>
              <w:t>2024年</w:t>
            </w:r>
            <w:r>
              <w:rPr>
                <w:rFonts w:ascii="仿宋" w:hAnsi="仿宋" w:eastAsia="仿宋" w:cs="仿宋"/>
                <w:color w:val="000000"/>
                <w:szCs w:val="21"/>
              </w:rPr>
              <w:t>香港高中生社会公民科内地交流项目</w:t>
            </w:r>
          </w:p>
        </w:tc>
        <w:tc>
          <w:tcPr>
            <w:tcW w:w="1559" w:type="dxa"/>
            <w:vAlign w:val="center"/>
          </w:tcPr>
          <w:p>
            <w:pPr>
              <w:jc w:val="center"/>
              <w:rPr>
                <w:rFonts w:ascii="仿宋" w:hAnsi="仿宋" w:eastAsia="仿宋" w:cs="仿宋"/>
                <w:color w:val="000000"/>
                <w:szCs w:val="21"/>
              </w:rPr>
            </w:pPr>
            <w:r>
              <w:rPr>
                <w:rFonts w:ascii="仿宋" w:hAnsi="仿宋" w:eastAsia="仿宋" w:cs="仿宋"/>
                <w:color w:val="000000"/>
                <w:szCs w:val="21"/>
              </w:rPr>
              <w:t>发展规划处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continue"/>
            <w:vAlign w:val="center"/>
          </w:tcPr>
          <w:p>
            <w:pPr>
              <w:jc w:val="center"/>
              <w:rPr>
                <w:rFonts w:ascii="仿宋" w:hAnsi="仿宋" w:eastAsia="仿宋" w:cs="仿宋"/>
                <w:b/>
                <w:bCs/>
                <w:color w:val="000000"/>
                <w:szCs w:val="21"/>
              </w:rPr>
            </w:pPr>
          </w:p>
        </w:tc>
        <w:tc>
          <w:tcPr>
            <w:tcW w:w="2166" w:type="dxa"/>
            <w:vAlign w:val="center"/>
          </w:tcPr>
          <w:p>
            <w:pPr>
              <w:jc w:val="center"/>
              <w:rPr>
                <w:rFonts w:ascii="仿宋" w:hAnsi="仿宋" w:eastAsia="仿宋" w:cs="仿宋"/>
                <w:color w:val="000000"/>
                <w:szCs w:val="21"/>
              </w:rPr>
            </w:pPr>
            <w:r>
              <w:rPr>
                <w:rFonts w:ascii="仿宋" w:hAnsi="仿宋" w:eastAsia="仿宋" w:cs="仿宋"/>
                <w:color w:val="000000"/>
                <w:szCs w:val="21"/>
              </w:rPr>
              <w:t>冈比亚畜牧兽医职业标准制定项目</w:t>
            </w:r>
          </w:p>
        </w:tc>
        <w:tc>
          <w:tcPr>
            <w:tcW w:w="3363" w:type="dxa"/>
            <w:vAlign w:val="center"/>
          </w:tcPr>
          <w:p>
            <w:pPr>
              <w:rPr>
                <w:rFonts w:ascii="仿宋" w:hAnsi="仿宋" w:eastAsia="仿宋" w:cs="仿宋"/>
                <w:color w:val="000000"/>
                <w:szCs w:val="21"/>
              </w:rPr>
            </w:pPr>
            <w:r>
              <w:rPr>
                <w:rFonts w:ascii="仿宋" w:hAnsi="仿宋" w:eastAsia="仿宋" w:cs="仿宋"/>
                <w:color w:val="000000"/>
                <w:szCs w:val="21"/>
              </w:rPr>
              <w:t>做好冈比亚畜牧兽医职业标准制定工作</w:t>
            </w:r>
          </w:p>
        </w:tc>
        <w:tc>
          <w:tcPr>
            <w:tcW w:w="1559" w:type="dxa"/>
            <w:vAlign w:val="center"/>
          </w:tcPr>
          <w:p>
            <w:pPr>
              <w:jc w:val="center"/>
              <w:rPr>
                <w:rFonts w:ascii="仿宋" w:hAnsi="仿宋" w:eastAsia="仿宋" w:cs="仿宋"/>
                <w:color w:val="000000"/>
                <w:szCs w:val="21"/>
              </w:rPr>
            </w:pPr>
            <w:r>
              <w:rPr>
                <w:rFonts w:ascii="仿宋" w:hAnsi="仿宋" w:eastAsia="仿宋" w:cs="仿宋"/>
                <w:color w:val="000000"/>
                <w:szCs w:val="21"/>
              </w:rPr>
              <w:t>发展规划处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restart"/>
            <w:vAlign w:val="center"/>
          </w:tcPr>
          <w:p>
            <w:pPr>
              <w:jc w:val="center"/>
              <w:rPr>
                <w:rFonts w:ascii="仿宋" w:hAnsi="仿宋" w:eastAsia="仿宋" w:cs="仿宋"/>
                <w:b/>
                <w:bCs/>
                <w:color w:val="000000"/>
                <w:szCs w:val="21"/>
              </w:rPr>
            </w:pPr>
            <w:r>
              <w:rPr>
                <w:rFonts w:hint="eastAsia" w:ascii="仿宋" w:hAnsi="仿宋" w:eastAsia="仿宋" w:cs="仿宋"/>
                <w:b/>
                <w:bCs/>
                <w:color w:val="000000"/>
                <w:szCs w:val="21"/>
              </w:rPr>
              <w:t>2025</w:t>
            </w:r>
          </w:p>
        </w:tc>
        <w:tc>
          <w:tcPr>
            <w:tcW w:w="2166" w:type="dxa"/>
            <w:vAlign w:val="center"/>
          </w:tcPr>
          <w:p>
            <w:pPr>
              <w:jc w:val="center"/>
              <w:rPr>
                <w:rFonts w:ascii="仿宋" w:hAnsi="仿宋" w:eastAsia="仿宋" w:cs="仿宋"/>
                <w:color w:val="000000"/>
                <w:szCs w:val="21"/>
              </w:rPr>
            </w:pPr>
            <w:r>
              <w:rPr>
                <w:rFonts w:ascii="仿宋" w:hAnsi="仿宋" w:eastAsia="仿宋" w:cs="仿宋"/>
                <w:color w:val="000000"/>
                <w:szCs w:val="21"/>
              </w:rPr>
              <w:t>冈比亚畜牧兽医职业标准制定项目</w:t>
            </w:r>
          </w:p>
        </w:tc>
        <w:tc>
          <w:tcPr>
            <w:tcW w:w="3363" w:type="dxa"/>
            <w:vAlign w:val="center"/>
          </w:tcPr>
          <w:p>
            <w:pPr>
              <w:rPr>
                <w:rFonts w:ascii="仿宋" w:hAnsi="仿宋" w:eastAsia="仿宋" w:cs="仿宋"/>
                <w:color w:val="000000"/>
                <w:szCs w:val="21"/>
              </w:rPr>
            </w:pPr>
            <w:r>
              <w:rPr>
                <w:rFonts w:ascii="仿宋" w:hAnsi="仿宋" w:eastAsia="仿宋" w:cs="仿宋"/>
                <w:color w:val="000000"/>
                <w:szCs w:val="21"/>
              </w:rPr>
              <w:t>做好冈比亚畜牧兽医职业标准推广工作</w:t>
            </w:r>
          </w:p>
        </w:tc>
        <w:tc>
          <w:tcPr>
            <w:tcW w:w="1559" w:type="dxa"/>
            <w:vAlign w:val="center"/>
          </w:tcPr>
          <w:p>
            <w:pPr>
              <w:jc w:val="center"/>
              <w:rPr>
                <w:rFonts w:ascii="仿宋" w:hAnsi="仿宋" w:eastAsia="仿宋" w:cs="仿宋"/>
                <w:color w:val="000000"/>
                <w:szCs w:val="21"/>
              </w:rPr>
            </w:pPr>
            <w:r>
              <w:rPr>
                <w:rFonts w:ascii="仿宋" w:hAnsi="仿宋" w:eastAsia="仿宋" w:cs="仿宋"/>
                <w:color w:val="000000"/>
                <w:szCs w:val="21"/>
              </w:rPr>
              <w:t>发展规划处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continue"/>
            <w:vAlign w:val="center"/>
          </w:tcPr>
          <w:p>
            <w:pPr>
              <w:jc w:val="center"/>
              <w:rPr>
                <w:rFonts w:ascii="仿宋" w:hAnsi="仿宋" w:eastAsia="仿宋" w:cs="仿宋"/>
                <w:color w:val="000000"/>
                <w:szCs w:val="21"/>
              </w:rPr>
            </w:pPr>
          </w:p>
        </w:tc>
        <w:tc>
          <w:tcPr>
            <w:tcW w:w="2166" w:type="dxa"/>
            <w:vAlign w:val="center"/>
          </w:tcPr>
          <w:p>
            <w:pPr>
              <w:jc w:val="center"/>
              <w:rPr>
                <w:rFonts w:ascii="仿宋" w:hAnsi="仿宋" w:eastAsia="仿宋" w:cs="仿宋"/>
                <w:color w:val="000000"/>
                <w:szCs w:val="21"/>
              </w:rPr>
            </w:pPr>
            <w:r>
              <w:rPr>
                <w:rFonts w:ascii="仿宋" w:hAnsi="仿宋" w:eastAsia="仿宋" w:cs="仿宋"/>
                <w:color w:val="000000"/>
                <w:szCs w:val="21"/>
              </w:rPr>
              <w:t>澳门科技大学科研合作项目</w:t>
            </w:r>
          </w:p>
        </w:tc>
        <w:tc>
          <w:tcPr>
            <w:tcW w:w="3363" w:type="dxa"/>
            <w:vAlign w:val="center"/>
          </w:tcPr>
          <w:p>
            <w:pPr>
              <w:rPr>
                <w:rFonts w:ascii="仿宋" w:hAnsi="仿宋" w:eastAsia="仿宋" w:cs="仿宋"/>
                <w:color w:val="000000"/>
                <w:szCs w:val="21"/>
              </w:rPr>
            </w:pPr>
            <w:r>
              <w:rPr>
                <w:rFonts w:ascii="仿宋" w:hAnsi="仿宋" w:eastAsia="仿宋" w:cs="仿宋"/>
                <w:color w:val="000000"/>
                <w:szCs w:val="21"/>
              </w:rPr>
              <w:t>持续做好学校与澳门科技大学共同开展“澳科一号”卫星项目</w:t>
            </w:r>
          </w:p>
        </w:tc>
        <w:tc>
          <w:tcPr>
            <w:tcW w:w="1559" w:type="dxa"/>
            <w:vAlign w:val="center"/>
          </w:tcPr>
          <w:p>
            <w:pPr>
              <w:jc w:val="center"/>
              <w:rPr>
                <w:rFonts w:ascii="仿宋" w:hAnsi="仿宋" w:eastAsia="仿宋" w:cs="仿宋"/>
                <w:color w:val="000000"/>
                <w:szCs w:val="21"/>
              </w:rPr>
            </w:pPr>
            <w:r>
              <w:rPr>
                <w:rFonts w:ascii="仿宋" w:hAnsi="仿宋" w:eastAsia="仿宋" w:cs="仿宋"/>
                <w:color w:val="000000"/>
                <w:szCs w:val="21"/>
              </w:rPr>
              <w:t>发展规划处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continue"/>
            <w:vAlign w:val="center"/>
          </w:tcPr>
          <w:p>
            <w:pPr>
              <w:jc w:val="center"/>
              <w:rPr>
                <w:rFonts w:ascii="仿宋" w:hAnsi="仿宋" w:eastAsia="仿宋" w:cs="仿宋"/>
                <w:color w:val="000000"/>
                <w:szCs w:val="21"/>
              </w:rPr>
            </w:pPr>
          </w:p>
        </w:tc>
        <w:tc>
          <w:tcPr>
            <w:tcW w:w="2166" w:type="dxa"/>
            <w:vAlign w:val="center"/>
          </w:tcPr>
          <w:p>
            <w:pPr>
              <w:jc w:val="center"/>
              <w:rPr>
                <w:rFonts w:ascii="仿宋" w:hAnsi="仿宋" w:eastAsia="仿宋" w:cs="仿宋"/>
                <w:color w:val="000000"/>
                <w:szCs w:val="21"/>
              </w:rPr>
            </w:pPr>
            <w:r>
              <w:rPr>
                <w:rFonts w:hint="eastAsia" w:ascii="仿宋" w:hAnsi="仿宋" w:eastAsia="仿宋" w:cs="仿宋"/>
                <w:color w:val="000000"/>
                <w:szCs w:val="21"/>
              </w:rPr>
              <w:t>打造中华优秀传统文化对外输出平台</w:t>
            </w:r>
          </w:p>
        </w:tc>
        <w:tc>
          <w:tcPr>
            <w:tcW w:w="3363" w:type="dxa"/>
            <w:vAlign w:val="center"/>
          </w:tcPr>
          <w:p>
            <w:pPr>
              <w:rPr>
                <w:rFonts w:ascii="仿宋" w:hAnsi="仿宋" w:eastAsia="仿宋" w:cs="仿宋"/>
                <w:color w:val="000000"/>
                <w:szCs w:val="21"/>
              </w:rPr>
            </w:pPr>
            <w:r>
              <w:rPr>
                <w:rFonts w:hint="eastAsia" w:ascii="仿宋" w:hAnsi="仿宋" w:eastAsia="仿宋" w:cs="仿宋"/>
                <w:color w:val="000000"/>
                <w:szCs w:val="21"/>
              </w:rPr>
              <w:t>依托留学生招生及培养，打造富有惠州特色的中华优秀传统文化——客家文化的对外输出平台。</w:t>
            </w:r>
          </w:p>
        </w:tc>
        <w:tc>
          <w:tcPr>
            <w:tcW w:w="1559" w:type="dxa"/>
            <w:vAlign w:val="center"/>
          </w:tcPr>
          <w:p>
            <w:pPr>
              <w:jc w:val="center"/>
              <w:rPr>
                <w:rFonts w:ascii="仿宋" w:hAnsi="仿宋" w:eastAsia="仿宋" w:cs="仿宋"/>
                <w:color w:val="000000"/>
                <w:szCs w:val="21"/>
              </w:rPr>
            </w:pPr>
            <w:r>
              <w:rPr>
                <w:rFonts w:ascii="仿宋" w:hAnsi="仿宋" w:eastAsia="仿宋" w:cs="仿宋"/>
                <w:color w:val="000000"/>
                <w:szCs w:val="21"/>
              </w:rPr>
              <w:t>发展规划处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continue"/>
            <w:vAlign w:val="center"/>
          </w:tcPr>
          <w:p>
            <w:pPr>
              <w:jc w:val="center"/>
              <w:rPr>
                <w:rFonts w:ascii="仿宋" w:hAnsi="仿宋" w:eastAsia="仿宋" w:cs="仿宋"/>
                <w:color w:val="000000"/>
                <w:szCs w:val="21"/>
              </w:rPr>
            </w:pPr>
          </w:p>
        </w:tc>
        <w:tc>
          <w:tcPr>
            <w:tcW w:w="2166" w:type="dxa"/>
            <w:vAlign w:val="center"/>
          </w:tcPr>
          <w:p>
            <w:pPr>
              <w:jc w:val="center"/>
              <w:rPr>
                <w:rFonts w:ascii="仿宋" w:hAnsi="仿宋" w:eastAsia="仿宋" w:cs="仿宋"/>
                <w:color w:val="000000"/>
                <w:szCs w:val="21"/>
              </w:rPr>
            </w:pPr>
            <w:r>
              <w:rPr>
                <w:rFonts w:ascii="仿宋" w:hAnsi="仿宋" w:eastAsia="仿宋" w:cs="仿宋"/>
                <w:color w:val="000000"/>
                <w:szCs w:val="21"/>
              </w:rPr>
              <w:t>香港高中生社会公民科内地交流项目</w:t>
            </w:r>
          </w:p>
        </w:tc>
        <w:tc>
          <w:tcPr>
            <w:tcW w:w="3363" w:type="dxa"/>
            <w:vAlign w:val="center"/>
          </w:tcPr>
          <w:p>
            <w:pPr>
              <w:rPr>
                <w:rFonts w:ascii="仿宋" w:hAnsi="仿宋" w:eastAsia="仿宋" w:cs="仿宋"/>
                <w:color w:val="000000"/>
                <w:szCs w:val="21"/>
              </w:rPr>
            </w:pPr>
            <w:r>
              <w:rPr>
                <w:rFonts w:ascii="仿宋" w:hAnsi="仿宋" w:eastAsia="仿宋" w:cs="仿宋"/>
                <w:color w:val="000000"/>
                <w:szCs w:val="21"/>
              </w:rPr>
              <w:t>按照省教育厅要求，高质量做好</w:t>
            </w:r>
            <w:r>
              <w:rPr>
                <w:rFonts w:hint="eastAsia" w:ascii="仿宋" w:hAnsi="仿宋" w:eastAsia="仿宋" w:cs="仿宋"/>
                <w:color w:val="000000"/>
                <w:szCs w:val="21"/>
              </w:rPr>
              <w:t>2025年</w:t>
            </w:r>
            <w:r>
              <w:rPr>
                <w:rFonts w:ascii="仿宋" w:hAnsi="仿宋" w:eastAsia="仿宋" w:cs="仿宋"/>
                <w:color w:val="000000"/>
                <w:szCs w:val="21"/>
              </w:rPr>
              <w:t>香港高中生社会公民科内地交流项目</w:t>
            </w:r>
          </w:p>
        </w:tc>
        <w:tc>
          <w:tcPr>
            <w:tcW w:w="1559" w:type="dxa"/>
            <w:vAlign w:val="center"/>
          </w:tcPr>
          <w:p>
            <w:pPr>
              <w:jc w:val="center"/>
              <w:rPr>
                <w:rFonts w:ascii="仿宋" w:hAnsi="仿宋" w:eastAsia="仿宋" w:cs="仿宋"/>
                <w:color w:val="000000"/>
                <w:szCs w:val="21"/>
              </w:rPr>
            </w:pPr>
            <w:r>
              <w:rPr>
                <w:rFonts w:ascii="仿宋" w:hAnsi="仿宋" w:eastAsia="仿宋" w:cs="仿宋"/>
                <w:color w:val="000000"/>
                <w:szCs w:val="21"/>
              </w:rPr>
              <w:t>发展规划处</w:t>
            </w:r>
          </w:p>
        </w:tc>
      </w:tr>
    </w:tbl>
    <w:p>
      <w:pPr>
        <w:pStyle w:val="5"/>
        <w:ind w:firstLine="562"/>
      </w:pPr>
      <w:r>
        <w:rPr>
          <w:rFonts w:hint="eastAsia"/>
        </w:rPr>
        <w:t>（6）预期成效及资金测算</w:t>
      </w:r>
    </w:p>
    <w:tbl>
      <w:tblPr>
        <w:tblStyle w:val="16"/>
        <w:tblW w:w="4998" w:type="pct"/>
        <w:jc w:val="center"/>
        <w:tblLayout w:type="autofit"/>
        <w:tblCellMar>
          <w:top w:w="15" w:type="dxa"/>
          <w:left w:w="15" w:type="dxa"/>
          <w:bottom w:w="15" w:type="dxa"/>
          <w:right w:w="15" w:type="dxa"/>
        </w:tblCellMar>
      </w:tblPr>
      <w:tblGrid>
        <w:gridCol w:w="1030"/>
        <w:gridCol w:w="1832"/>
        <w:gridCol w:w="3034"/>
        <w:gridCol w:w="874"/>
        <w:gridCol w:w="727"/>
        <w:gridCol w:w="836"/>
      </w:tblGrid>
      <w:tr>
        <w:tblPrEx>
          <w:tblCellMar>
            <w:top w:w="15" w:type="dxa"/>
            <w:left w:w="15" w:type="dxa"/>
            <w:bottom w:w="15" w:type="dxa"/>
            <w:right w:w="15" w:type="dxa"/>
          </w:tblCellMar>
        </w:tblPrEx>
        <w:trPr>
          <w:trHeight w:val="301" w:hRule="atLeast"/>
          <w:jc w:val="center"/>
        </w:trPr>
        <w:tc>
          <w:tcPr>
            <w:tcW w:w="618" w:type="pct"/>
            <w:vMerge w:val="restart"/>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rPr>
              <w:t>项目名称</w:t>
            </w:r>
          </w:p>
        </w:tc>
        <w:tc>
          <w:tcPr>
            <w:tcW w:w="1099" w:type="pct"/>
            <w:vMerge w:val="restart"/>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rPr>
              <w:t>主要建设内容</w:t>
            </w:r>
          </w:p>
        </w:tc>
        <w:tc>
          <w:tcPr>
            <w:tcW w:w="1820" w:type="pct"/>
            <w:vMerge w:val="restart"/>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rPr>
              <w:t>预期建设成效</w:t>
            </w:r>
          </w:p>
        </w:tc>
        <w:tc>
          <w:tcPr>
            <w:tcW w:w="1461" w:type="pct"/>
            <w:gridSpan w:val="3"/>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rPr>
              <w:t>建设资金安排表（万元）</w:t>
            </w:r>
          </w:p>
        </w:tc>
      </w:tr>
      <w:tr>
        <w:tblPrEx>
          <w:tblCellMar>
            <w:top w:w="15" w:type="dxa"/>
            <w:left w:w="15" w:type="dxa"/>
            <w:bottom w:w="15" w:type="dxa"/>
            <w:right w:w="15" w:type="dxa"/>
          </w:tblCellMar>
        </w:tblPrEx>
        <w:trPr>
          <w:trHeight w:val="286" w:hRule="atLeast"/>
          <w:jc w:val="center"/>
        </w:trPr>
        <w:tc>
          <w:tcPr>
            <w:tcW w:w="618" w:type="pct"/>
            <w:vMerge w:val="continue"/>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jc w:val="center"/>
              <w:rPr>
                <w:rFonts w:ascii="仿宋" w:hAnsi="仿宋" w:eastAsia="仿宋" w:cs="仿宋"/>
                <w:b/>
                <w:bCs/>
                <w:color w:val="000000"/>
                <w:szCs w:val="21"/>
              </w:rPr>
            </w:pPr>
          </w:p>
        </w:tc>
        <w:tc>
          <w:tcPr>
            <w:tcW w:w="1099" w:type="pct"/>
            <w:vMerge w:val="continue"/>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rPr>
                <w:rFonts w:ascii="仿宋" w:hAnsi="仿宋" w:eastAsia="仿宋" w:cs="仿宋"/>
                <w:b/>
                <w:bCs/>
                <w:color w:val="000000"/>
                <w:szCs w:val="21"/>
              </w:rPr>
            </w:pPr>
          </w:p>
        </w:tc>
        <w:tc>
          <w:tcPr>
            <w:tcW w:w="1820" w:type="pct"/>
            <w:vMerge w:val="continue"/>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rPr>
                <w:rFonts w:ascii="仿宋" w:hAnsi="仿宋" w:eastAsia="仿宋" w:cs="仿宋"/>
                <w:b/>
                <w:bCs/>
                <w:color w:val="000000"/>
                <w:szCs w:val="21"/>
              </w:rPr>
            </w:pPr>
          </w:p>
        </w:tc>
        <w:tc>
          <w:tcPr>
            <w:tcW w:w="524" w:type="pct"/>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kern w:val="0"/>
                <w:szCs w:val="21"/>
              </w:rPr>
            </w:pPr>
            <w:r>
              <w:rPr>
                <w:rFonts w:hint="eastAsia" w:ascii="仿宋" w:hAnsi="仿宋" w:eastAsia="仿宋" w:cs="仿宋"/>
                <w:b/>
                <w:bCs/>
                <w:color w:val="000000"/>
                <w:kern w:val="0"/>
                <w:szCs w:val="21"/>
              </w:rPr>
              <w:t>2023年</w:t>
            </w:r>
          </w:p>
        </w:tc>
        <w:tc>
          <w:tcPr>
            <w:tcW w:w="436" w:type="pct"/>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kern w:val="0"/>
                <w:szCs w:val="21"/>
              </w:rPr>
            </w:pPr>
            <w:r>
              <w:rPr>
                <w:rFonts w:hint="eastAsia" w:ascii="仿宋" w:hAnsi="仿宋" w:eastAsia="仿宋" w:cs="仿宋"/>
                <w:b/>
                <w:bCs/>
                <w:color w:val="000000"/>
                <w:kern w:val="0"/>
                <w:szCs w:val="21"/>
              </w:rPr>
              <w:t>2024年</w:t>
            </w:r>
          </w:p>
        </w:tc>
        <w:tc>
          <w:tcPr>
            <w:tcW w:w="501" w:type="pct"/>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rPr>
              <w:t>2025年</w:t>
            </w:r>
          </w:p>
        </w:tc>
      </w:tr>
      <w:tr>
        <w:tblPrEx>
          <w:tblCellMar>
            <w:top w:w="15" w:type="dxa"/>
            <w:left w:w="15" w:type="dxa"/>
            <w:bottom w:w="15" w:type="dxa"/>
            <w:right w:w="15" w:type="dxa"/>
          </w:tblCellMar>
        </w:tblPrEx>
        <w:trPr>
          <w:trHeight w:val="450" w:hRule="atLeast"/>
          <w:jc w:val="center"/>
        </w:trPr>
        <w:tc>
          <w:tcPr>
            <w:tcW w:w="618" w:type="pct"/>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仿宋"/>
                <w:bCs/>
                <w:color w:val="000000"/>
                <w:szCs w:val="21"/>
              </w:rPr>
            </w:pPr>
            <w:r>
              <w:rPr>
                <w:rFonts w:hint="eastAsia" w:ascii="仿宋" w:hAnsi="仿宋" w:eastAsia="仿宋" w:cs="仿宋"/>
                <w:b/>
                <w:color w:val="000000"/>
                <w:szCs w:val="21"/>
              </w:rPr>
              <w:t>对外交流与合作项目</w:t>
            </w:r>
          </w:p>
        </w:tc>
        <w:tc>
          <w:tcPr>
            <w:tcW w:w="1099" w:type="pct"/>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仿宋"/>
                <w:color w:val="000000"/>
                <w:szCs w:val="21"/>
              </w:rPr>
            </w:pPr>
            <w:r>
              <w:rPr>
                <w:rFonts w:hint="eastAsia" w:ascii="仿宋" w:hAnsi="仿宋" w:eastAsia="仿宋" w:cs="仿宋"/>
                <w:color w:val="000000"/>
                <w:szCs w:val="21"/>
              </w:rPr>
              <w:t>加强与省内外优质高校合作，主动嫁接成熟中外合作办学项目，总结与香港、澳门学校科研合作和交流经验，构建成熟师生交流项目，承接“走出去”合作企业员工技术技能培训和技术服务，打造中华优秀传统文化对外输出平台</w:t>
            </w:r>
          </w:p>
        </w:tc>
        <w:tc>
          <w:tcPr>
            <w:tcW w:w="1820" w:type="pct"/>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仿宋"/>
                <w:bCs/>
                <w:color w:val="000000"/>
                <w:szCs w:val="21"/>
              </w:rPr>
            </w:pPr>
            <w:r>
              <w:rPr>
                <w:rFonts w:hint="eastAsia" w:ascii="仿宋" w:hAnsi="仿宋" w:eastAsia="仿宋" w:cs="仿宋"/>
                <w:bCs/>
                <w:color w:val="000000"/>
                <w:szCs w:val="21"/>
              </w:rPr>
              <w:t>服务国家对外开放战略，持续开展香港高中生社会公民科内地交流项目，加强与澳门科技大学科研合作，紧跟国际电子信息产业发展趋势，通过“请进来”和“走出去”相结合方式，构建电子信息产业国（境）外合作办学、学分互认、国际职业资格认证、师生交流、国际师资队伍建设等国际化合作平台，培养一批具有中国情怀、国际视野、国际意识的学生。</w:t>
            </w:r>
          </w:p>
        </w:tc>
        <w:tc>
          <w:tcPr>
            <w:tcW w:w="524" w:type="pct"/>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Cs w:val="21"/>
              </w:rPr>
            </w:pPr>
            <w:r>
              <w:rPr>
                <w:rFonts w:hint="eastAsia" w:ascii="仿宋" w:hAnsi="仿宋" w:eastAsia="仿宋" w:cs="仿宋"/>
                <w:color w:val="000000"/>
                <w:szCs w:val="21"/>
              </w:rPr>
              <w:t>5</w:t>
            </w:r>
          </w:p>
        </w:tc>
        <w:tc>
          <w:tcPr>
            <w:tcW w:w="436" w:type="pct"/>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Cs w:val="21"/>
              </w:rPr>
            </w:pPr>
            <w:r>
              <w:rPr>
                <w:rFonts w:hint="eastAsia" w:ascii="仿宋" w:hAnsi="仿宋" w:eastAsia="仿宋" w:cs="仿宋"/>
                <w:color w:val="000000"/>
                <w:szCs w:val="21"/>
              </w:rPr>
              <w:t>15</w:t>
            </w:r>
          </w:p>
        </w:tc>
        <w:tc>
          <w:tcPr>
            <w:tcW w:w="501" w:type="pct"/>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Cs w:val="21"/>
              </w:rPr>
            </w:pPr>
            <w:r>
              <w:rPr>
                <w:rFonts w:hint="eastAsia" w:ascii="仿宋" w:hAnsi="仿宋" w:eastAsia="仿宋" w:cs="仿宋"/>
                <w:color w:val="000000"/>
                <w:szCs w:val="21"/>
              </w:rPr>
              <w:t>15</w:t>
            </w:r>
          </w:p>
        </w:tc>
      </w:tr>
    </w:tbl>
    <w:p/>
    <w:p>
      <w:pPr>
        <w:pStyle w:val="3"/>
        <w:ind w:firstLine="643"/>
      </w:pPr>
      <w:bookmarkStart w:id="80" w:name="_Toc164347861"/>
      <w:r>
        <w:rPr>
          <w:rFonts w:hint="eastAsia"/>
        </w:rPr>
        <w:t>（九）自选项目</w:t>
      </w:r>
      <w:bookmarkEnd w:id="80"/>
    </w:p>
    <w:p>
      <w:pPr>
        <w:pStyle w:val="4"/>
        <w:rPr>
          <w:rFonts w:ascii="仿宋" w:hAnsi="仿宋"/>
          <w:bCs/>
          <w:szCs w:val="32"/>
        </w:rPr>
      </w:pPr>
      <w:bookmarkStart w:id="81" w:name="_Toc164347862"/>
      <w:r>
        <w:rPr>
          <w:rFonts w:hint="eastAsia"/>
        </w:rPr>
        <w:t>1.</w:t>
      </w:r>
      <w:bookmarkStart w:id="82" w:name="_Toc1438"/>
      <w:r>
        <w:rPr>
          <w:rFonts w:hint="eastAsia"/>
        </w:rPr>
        <w:t>践行习近平文化思想，</w:t>
      </w:r>
      <w:r>
        <w:fldChar w:fldCharType="begin"/>
      </w:r>
      <w:r>
        <w:instrText xml:space="preserve"> HYPERLINK \l "_Toc7302" </w:instrText>
      </w:r>
      <w:r>
        <w:fldChar w:fldCharType="separate"/>
      </w:r>
      <w:r>
        <w:rPr>
          <w:rFonts w:hint="eastAsia"/>
        </w:rPr>
        <w:t>红色文化融入育人实践项目</w:t>
      </w:r>
      <w:bookmarkEnd w:id="81"/>
      <w:r>
        <w:rPr>
          <w:rFonts w:hint="eastAsia"/>
        </w:rPr>
        <w:fldChar w:fldCharType="end"/>
      </w:r>
      <w:bookmarkEnd w:id="82"/>
    </w:p>
    <w:p>
      <w:pPr>
        <w:numPr>
          <w:ilvl w:val="0"/>
          <w:numId w:val="2"/>
        </w:numPr>
        <w:spacing w:line="540" w:lineRule="exact"/>
        <w:ind w:firstLine="562" w:firstLineChars="200"/>
        <w:rPr>
          <w:rFonts w:ascii="仿宋" w:hAnsi="仿宋" w:eastAsia="仿宋"/>
          <w:b/>
          <w:bCs/>
          <w:sz w:val="28"/>
          <w:szCs w:val="28"/>
        </w:rPr>
      </w:pPr>
      <w:r>
        <w:rPr>
          <w:rFonts w:hint="eastAsia" w:ascii="仿宋" w:hAnsi="仿宋" w:eastAsia="仿宋"/>
          <w:b/>
          <w:bCs/>
          <w:sz w:val="28"/>
          <w:szCs w:val="28"/>
        </w:rPr>
        <w:t>必要性和可行性</w:t>
      </w:r>
    </w:p>
    <w:p>
      <w:pPr>
        <w:spacing w:line="54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2023年10月，习近平总书记对宣传思想文化工作作出重要指示指出，要坚持以习近平新时代中国特色社会主义思想为指导，坚定文化自信，秉持开放包容，坚持守正创新，为全面建设社会主义现代化国家、全面推进中华民族伟大复兴提供坚强思想保证、强大精神力量、有利文化条件。</w:t>
      </w:r>
    </w:p>
    <w:p>
      <w:pPr>
        <w:spacing w:line="54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近年来，随着“思想政治理论课要坚持在改进中加强”“其他各门学科都要守好一段渠，种好责任田，使各类课程与思想政治理论课同向前行，形成协同效应”的建议，高校课程思政的建设已经实现了从大规模普及到高质量跃升的崭新发展时期。怎样才能更有效、更有质量地完成专业课思政的构建，是每个专业课教师都要深思的一个重大问题。在大学的课程思政建设中，融入红色文化，既可以为课程思政提供鲜活的教学材料，又可以在现代大学生的思想政治教育，专业知识的学习、职业能力的培养以及生命价值的形成过程中发挥作用。</w:t>
      </w:r>
    </w:p>
    <w:p>
      <w:pPr>
        <w:spacing w:line="54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红色文化资源的教育意义与课程思政的培养目标有着良好的一致性，对红色文化资源的选取可以更好地引发学生的共鸣，使红色文化成为学生在思想信念、创新创造、人生价值等方面进行自我修养的最好的营养。让“红色文化”整合到课程思政中，让“学科思政课”更加充实，更加生动。</w:t>
      </w:r>
    </w:p>
    <w:p>
      <w:pPr>
        <w:numPr>
          <w:ilvl w:val="0"/>
          <w:numId w:val="2"/>
        </w:numPr>
        <w:spacing w:line="540" w:lineRule="exact"/>
        <w:ind w:firstLine="562" w:firstLineChars="200"/>
        <w:rPr>
          <w:rFonts w:ascii="仿宋" w:hAnsi="仿宋" w:eastAsia="仿宋"/>
          <w:b/>
          <w:bCs/>
          <w:sz w:val="28"/>
          <w:szCs w:val="28"/>
        </w:rPr>
      </w:pPr>
      <w:r>
        <w:rPr>
          <w:rFonts w:hint="eastAsia" w:ascii="仿宋" w:hAnsi="仿宋" w:eastAsia="仿宋"/>
          <w:b/>
          <w:bCs/>
          <w:sz w:val="28"/>
          <w:szCs w:val="28"/>
        </w:rPr>
        <w:t>拟解决的关键问题</w:t>
      </w:r>
    </w:p>
    <w:p>
      <w:pPr>
        <w:spacing w:line="540" w:lineRule="exact"/>
        <w:ind w:firstLine="562" w:firstLineChars="200"/>
        <w:rPr>
          <w:rFonts w:ascii="仿宋" w:hAnsi="仿宋" w:eastAsia="仿宋" w:cs="仿宋"/>
          <w:color w:val="000000"/>
          <w:sz w:val="28"/>
          <w:szCs w:val="28"/>
        </w:rPr>
      </w:pPr>
      <w:r>
        <w:rPr>
          <w:rFonts w:hint="eastAsia" w:ascii="仿宋" w:hAnsi="仿宋" w:eastAsia="仿宋" w:cs="仿宋"/>
          <w:b/>
          <w:bCs/>
          <w:color w:val="000000"/>
          <w:sz w:val="28"/>
          <w:szCs w:val="28"/>
        </w:rPr>
        <w:t>① 将“红色文化”</w:t>
      </w:r>
      <w:r>
        <w:rPr>
          <w:rFonts w:hint="eastAsia" w:ascii="仿宋" w:hAnsi="仿宋" w:eastAsia="仿宋" w:cs="仿宋"/>
          <w:b/>
          <w:bCs/>
          <w:color w:val="000000"/>
          <w:sz w:val="28"/>
          <w:szCs w:val="28"/>
          <w:lang w:eastAsia="zh-CN"/>
        </w:rPr>
        <w:t>融入</w:t>
      </w:r>
      <w:r>
        <w:rPr>
          <w:rFonts w:hint="eastAsia" w:ascii="仿宋" w:hAnsi="仿宋" w:eastAsia="仿宋" w:cs="仿宋"/>
          <w:b/>
          <w:bCs/>
          <w:color w:val="000000"/>
          <w:sz w:val="28"/>
          <w:szCs w:val="28"/>
        </w:rPr>
        <w:t>课程改革与实践当中去。</w:t>
      </w:r>
      <w:r>
        <w:rPr>
          <w:rFonts w:hint="eastAsia" w:ascii="仿宋" w:hAnsi="仿宋" w:eastAsia="仿宋" w:cs="仿宋"/>
          <w:color w:val="000000"/>
          <w:sz w:val="28"/>
          <w:szCs w:val="28"/>
        </w:rPr>
        <w:t>在进行学科思政中，要把红色文化</w:t>
      </w:r>
      <w:r>
        <w:rPr>
          <w:rFonts w:hint="eastAsia" w:ascii="仿宋" w:hAnsi="仿宋" w:eastAsia="仿宋" w:cs="仿宋"/>
          <w:color w:val="000000"/>
          <w:sz w:val="28"/>
          <w:szCs w:val="28"/>
          <w:lang w:eastAsia="zh-CN"/>
        </w:rPr>
        <w:t>融入</w:t>
      </w:r>
      <w:r>
        <w:rPr>
          <w:rFonts w:hint="eastAsia" w:ascii="仿宋" w:hAnsi="仿宋" w:eastAsia="仿宋" w:cs="仿宋"/>
          <w:color w:val="000000"/>
          <w:sz w:val="28"/>
          <w:szCs w:val="28"/>
        </w:rPr>
        <w:t>学科课程中去，就一定要对专业课的课程标准和学生的培养目标有一个全面的了解，一定要与学科本身的培养目标相结合。专业课课程思政的建构，是以专业知识的教授与思想政治的教学相结合为原则来进行的，在把红色文化整合到专业课中去前，</w:t>
      </w:r>
      <w:r>
        <w:rPr>
          <w:rFonts w:hint="eastAsia" w:ascii="仿宋" w:hAnsi="仿宋" w:eastAsia="仿宋" w:cs="仿宋"/>
          <w:color w:val="000000"/>
          <w:sz w:val="28"/>
          <w:szCs w:val="28"/>
          <w:lang w:eastAsia="zh-CN"/>
        </w:rPr>
        <w:t>必须</w:t>
      </w:r>
      <w:r>
        <w:rPr>
          <w:rFonts w:hint="eastAsia" w:ascii="仿宋" w:hAnsi="仿宋" w:eastAsia="仿宋" w:cs="仿宋"/>
          <w:color w:val="000000"/>
          <w:sz w:val="28"/>
          <w:szCs w:val="28"/>
        </w:rPr>
        <w:t>对专业课的教学内容和学生的培养目标有一个清晰的认识，这样，在专业课的教学过程中，就可以让红色文化在专业课的教学过程中起到切实的作用，让其真正</w:t>
      </w:r>
      <w:r>
        <w:rPr>
          <w:rFonts w:hint="eastAsia" w:ascii="仿宋" w:hAnsi="仿宋" w:eastAsia="仿宋" w:cs="仿宋"/>
          <w:color w:val="000000"/>
          <w:sz w:val="28"/>
          <w:szCs w:val="28"/>
          <w:lang w:eastAsia="zh-CN"/>
        </w:rPr>
        <w:t>融入</w:t>
      </w:r>
      <w:r>
        <w:rPr>
          <w:rFonts w:hint="eastAsia" w:ascii="仿宋" w:hAnsi="仿宋" w:eastAsia="仿宋" w:cs="仿宋"/>
          <w:color w:val="000000"/>
          <w:sz w:val="28"/>
          <w:szCs w:val="28"/>
        </w:rPr>
        <w:t>课程中，达到“润物细无声”。</w:t>
      </w:r>
    </w:p>
    <w:p>
      <w:pPr>
        <w:spacing w:line="540" w:lineRule="exact"/>
        <w:ind w:firstLine="562" w:firstLineChars="200"/>
        <w:rPr>
          <w:rFonts w:ascii="仿宋" w:hAnsi="仿宋" w:eastAsia="仿宋" w:cs="仿宋"/>
          <w:color w:val="000000"/>
          <w:sz w:val="28"/>
          <w:szCs w:val="28"/>
        </w:rPr>
      </w:pPr>
      <w:r>
        <w:rPr>
          <w:rFonts w:hint="eastAsia" w:ascii="仿宋" w:hAnsi="仿宋" w:eastAsia="仿宋" w:cs="仿宋"/>
          <w:b/>
          <w:bCs/>
          <w:color w:val="000000"/>
          <w:sz w:val="28"/>
          <w:szCs w:val="28"/>
        </w:rPr>
        <w:t>② 红色文化与大学生实际结合。</w:t>
      </w:r>
      <w:r>
        <w:rPr>
          <w:rFonts w:hint="eastAsia" w:ascii="仿宋" w:hAnsi="仿宋" w:eastAsia="仿宋" w:cs="仿宋"/>
          <w:color w:val="000000"/>
          <w:sz w:val="28"/>
          <w:szCs w:val="28"/>
        </w:rPr>
        <w:t>根据大学生思想发展的特点，做好高校思想政治教育工作，具有重要的现实意义。把握大学生的特点，是提高思想政治教育的魅力、提高思想政治教育的效率的出发点。当今的大学生大都是00后，他们有着00后的典型特征，有着很强的个性，00后大学生在选择课堂教学方式上更趋向于多一些学生之间的交流，而非单纯依靠老师的授课方式。由此可以看出，在当今大学生的课程思政建设中，一定要采取一种“润物无声”的浸入式教学方式，寻找出能够与学生共情的思政内容，并将其与专业课程相结合，这样才能让课程思政真正起到熏陶和引导的效果。</w:t>
      </w:r>
    </w:p>
    <w:p>
      <w:pPr>
        <w:spacing w:line="540" w:lineRule="exact"/>
        <w:ind w:firstLine="562" w:firstLineChars="200"/>
        <w:rPr>
          <w:rFonts w:ascii="仿宋" w:hAnsi="仿宋" w:eastAsia="仿宋" w:cs="仿宋"/>
          <w:color w:val="000000"/>
          <w:sz w:val="28"/>
          <w:szCs w:val="28"/>
        </w:rPr>
      </w:pPr>
      <w:r>
        <w:rPr>
          <w:rFonts w:hint="eastAsia" w:ascii="仿宋" w:hAnsi="仿宋" w:eastAsia="仿宋" w:cs="仿宋"/>
          <w:b/>
          <w:bCs/>
          <w:color w:val="000000"/>
          <w:sz w:val="28"/>
          <w:szCs w:val="28"/>
        </w:rPr>
        <w:t>③ 红色文化与教学内容结合。</w:t>
      </w:r>
      <w:r>
        <w:rPr>
          <w:rFonts w:hint="eastAsia" w:ascii="仿宋" w:hAnsi="仿宋" w:eastAsia="仿宋" w:cs="仿宋"/>
          <w:color w:val="000000"/>
          <w:sz w:val="28"/>
          <w:szCs w:val="28"/>
        </w:rPr>
        <w:t>将红色文化真正地</w:t>
      </w:r>
      <w:r>
        <w:rPr>
          <w:rFonts w:hint="eastAsia" w:ascii="仿宋" w:hAnsi="仿宋" w:eastAsia="仿宋" w:cs="仿宋"/>
          <w:color w:val="000000"/>
          <w:sz w:val="28"/>
          <w:szCs w:val="28"/>
          <w:lang w:eastAsia="zh-CN"/>
        </w:rPr>
        <w:t>融入</w:t>
      </w:r>
      <w:r>
        <w:rPr>
          <w:rFonts w:hint="eastAsia" w:ascii="仿宋" w:hAnsi="仿宋" w:eastAsia="仿宋" w:cs="仿宋"/>
          <w:color w:val="000000"/>
          <w:sz w:val="28"/>
          <w:szCs w:val="28"/>
        </w:rPr>
        <w:t>思政课程与课程思政建设中，还需要把握好教学内容这一环节，作为实施课程思政、提升学生思想政治理论素养的载体，课程的主要内容包括教材的编写与讲授。要进行好的思政构建，就要选取高质量的教学材料，并在此基础上，从内部和外部两个方面，深度发掘出可以与思想政治相融合的内容。红色文化本身就蕴含着深刻的思想政治教育价值，它在对思想政治要素的发掘和提炼方面，拥有着无可比拟的优越性，它所蕴含的优良的文化内涵以及它所蕴含的丰富的教育性，都是其他教材所不能比拟的优势。</w:t>
      </w:r>
    </w:p>
    <w:p>
      <w:pPr>
        <w:spacing w:line="540" w:lineRule="exact"/>
        <w:ind w:firstLine="562" w:firstLineChars="200"/>
        <w:rPr>
          <w:rFonts w:ascii="仿宋" w:hAnsi="仿宋" w:eastAsia="仿宋"/>
          <w:b/>
          <w:bCs/>
          <w:sz w:val="28"/>
          <w:szCs w:val="28"/>
        </w:rPr>
      </w:pPr>
      <w:r>
        <w:rPr>
          <w:rFonts w:hint="eastAsia" w:ascii="仿宋" w:hAnsi="仿宋" w:eastAsia="仿宋"/>
          <w:b/>
          <w:bCs/>
          <w:sz w:val="28"/>
          <w:szCs w:val="28"/>
        </w:rPr>
        <w:t>（3）建设目标</w:t>
      </w:r>
    </w:p>
    <w:p>
      <w:pPr>
        <w:pStyle w:val="15"/>
        <w:spacing w:after="0"/>
        <w:ind w:firstLine="560"/>
        <w:rPr>
          <w:bCs w:val="0"/>
          <w:sz w:val="28"/>
          <w:szCs w:val="28"/>
        </w:rPr>
      </w:pPr>
      <w:r>
        <w:rPr>
          <w:rFonts w:hint="eastAsia"/>
          <w:bCs w:val="0"/>
          <w:sz w:val="28"/>
          <w:szCs w:val="28"/>
        </w:rPr>
        <w:t>2023年10月召开的全国宣传思想文化工作的重大成果是推出了习近平文化思想。马克思主义理论激活了中华优秀传统文化，中华优秀传统文化滋养了马克思主义发展创新。“红色文化”是中华文化的重要组成部分，是中华民族富有时代性、思想性和民族性的精神底色。物质文明与精神文明相协调是中国式现代化的特征之一，所以推进中国式现代化，实现中华民族伟大复兴，我们应弘扬中华优秀的传统文化，充分利用红色文化，大力发展社会主义先进文化，不断充实人们的精神文化生活。红色文化具有丰富、生动、鲜活和普及性的特征，将其融入思政课程和专业课程思政，助推“三全育人”提质增效，推进高校思政工作。</w:t>
      </w:r>
    </w:p>
    <w:p>
      <w:pPr>
        <w:spacing w:line="54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（4）重点建设任务</w:t>
      </w:r>
    </w:p>
    <w:p>
      <w:pPr>
        <w:spacing w:line="540" w:lineRule="exact"/>
        <w:ind w:firstLine="562" w:firstLineChars="200"/>
        <w:rPr>
          <w:rFonts w:ascii="仿宋" w:hAnsi="仿宋" w:eastAsia="仿宋" w:cs="仿宋"/>
          <w:b/>
          <w:bCs/>
          <w:color w:val="000000"/>
          <w:sz w:val="28"/>
          <w:szCs w:val="28"/>
        </w:rPr>
      </w:pPr>
      <w:r>
        <w:rPr>
          <w:rFonts w:hint="eastAsia" w:ascii="仿宋" w:hAnsi="仿宋" w:eastAsia="仿宋" w:cs="仿宋"/>
          <w:b/>
          <w:bCs/>
          <w:color w:val="000000"/>
          <w:sz w:val="28"/>
          <w:szCs w:val="28"/>
        </w:rPr>
        <w:t>① 实施“数字马院”工程</w:t>
      </w:r>
    </w:p>
    <w:p>
      <w:pPr>
        <w:spacing w:line="54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依托数字化技术建设新时代思想政治课程群，打造红色文化引领课程思政的实践模式。考虑到在新时代，教育数字化是高等教育高质量发展的必然趋势和一种主要的体现方式，因此，在数字技术的支持下，构建出以红色文化为核心的思政教育模式，引导学生形成一种以红色文化为中心的课程思政的实践模式，有着十分重大的理论和现实意义。大学教师需要探讨，怎样利用各种类型的数字技术，将红色文化在各种课程中的具体表现出来，也就是要以平台技术为基础，将红色文化的核心指导理念生根落地。基于此，将红色文化整合到课程思政中，对标于四个“新”维，以数字技术平台为具体的实践引导工具，将学科建设框架和红色文化的具体内容通过技术平台拓展到课程思政中，实现教育数字化平台、新文科建设框架、红色文化、课程思政等多元要素交互作用的高层次的教育实践，推动教育数字化技术在红色文化理论和研究方法方面的运用，形成红色文化思政建设的理论和实践探索，并将其拓展到其他学科领域。</w:t>
      </w:r>
    </w:p>
    <w:p>
      <w:pPr>
        <w:spacing w:line="540" w:lineRule="exact"/>
        <w:ind w:firstLine="562" w:firstLineChars="200"/>
        <w:rPr>
          <w:rFonts w:ascii="仿宋" w:hAnsi="仿宋" w:eastAsia="仿宋" w:cs="仿宋"/>
          <w:b/>
          <w:bCs/>
          <w:color w:val="000000"/>
          <w:sz w:val="28"/>
          <w:szCs w:val="28"/>
        </w:rPr>
      </w:pPr>
      <w:r>
        <w:rPr>
          <w:rFonts w:hint="eastAsia" w:ascii="仿宋" w:hAnsi="仿宋" w:eastAsia="仿宋" w:cs="仿宋"/>
          <w:b/>
          <w:bCs/>
          <w:color w:val="000000"/>
          <w:sz w:val="28"/>
          <w:szCs w:val="28"/>
        </w:rPr>
        <w:t>② 红色文化特色的“名师金课”建设</w:t>
      </w:r>
    </w:p>
    <w:p>
      <w:pPr>
        <w:spacing w:line="54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依托国家级和省级思政课题，协同广东东江党史与红色文化研究中心，推进名师金课建设。根据目前国内大学进行的“红色文化”课程建设的实践，在不同的课程体系中，如何识别出“红色文化”对“课程思政”的引导方式，是提高“数字驱动”下的课程思政育人效果的重要先决条件。由于在各所大学和各个专业的课程中，红色文化的运用方式和实践范式存在着比较显著的环境差别，因此，对各所大学的课程思政建设案例中的环境要素进行辨识，并与我国高等教育体制改革的主要指引相联系，这是增强大学生的思政意识的一种主要实践方式。要做到这一点，就需要对各种类型的高校进行课程红色文化实践的前提条件进行充分</w:t>
      </w:r>
      <w:r>
        <w:rPr>
          <w:rFonts w:hint="eastAsia" w:ascii="仿宋" w:hAnsi="仿宋" w:eastAsia="仿宋" w:cs="仿宋"/>
          <w:color w:val="000000"/>
          <w:sz w:val="28"/>
          <w:szCs w:val="28"/>
          <w:lang w:eastAsia="zh-CN"/>
        </w:rPr>
        <w:t>地</w:t>
      </w:r>
      <w:r>
        <w:rPr>
          <w:rFonts w:hint="eastAsia" w:ascii="仿宋" w:hAnsi="仿宋" w:eastAsia="仿宋" w:cs="仿宋"/>
          <w:color w:val="000000"/>
          <w:sz w:val="28"/>
          <w:szCs w:val="28"/>
        </w:rPr>
        <w:t>探讨，从而对已有的成功经验进行研究，总结经验并将其应用于专业课程中。在此基础上，对各种类型的高校在课程中进行深入</w:t>
      </w:r>
      <w:r>
        <w:rPr>
          <w:rFonts w:hint="eastAsia" w:ascii="仿宋" w:hAnsi="仿宋" w:eastAsia="仿宋" w:cs="仿宋"/>
          <w:color w:val="000000"/>
          <w:sz w:val="28"/>
          <w:szCs w:val="28"/>
          <w:lang w:eastAsia="zh-CN"/>
        </w:rPr>
        <w:t>地</w:t>
      </w:r>
      <w:r>
        <w:rPr>
          <w:rFonts w:hint="eastAsia" w:ascii="仿宋" w:hAnsi="仿宋" w:eastAsia="仿宋" w:cs="仿宋"/>
          <w:color w:val="000000"/>
          <w:sz w:val="28"/>
          <w:szCs w:val="28"/>
        </w:rPr>
        <w:t>研究，以此来扩展对课程思政实践数字化技术的应用视野和具体的操作方式。</w:t>
      </w:r>
    </w:p>
    <w:p>
      <w:pPr>
        <w:spacing w:line="540" w:lineRule="exact"/>
        <w:ind w:firstLine="562" w:firstLineChars="200"/>
        <w:rPr>
          <w:rFonts w:ascii="仿宋" w:hAnsi="仿宋" w:eastAsia="仿宋" w:cs="仿宋"/>
          <w:b/>
          <w:bCs/>
          <w:color w:val="000000"/>
          <w:sz w:val="28"/>
          <w:szCs w:val="28"/>
        </w:rPr>
      </w:pPr>
      <w:r>
        <w:rPr>
          <w:rFonts w:hint="eastAsia" w:ascii="仿宋" w:hAnsi="仿宋" w:eastAsia="仿宋" w:cs="仿宋"/>
          <w:b/>
          <w:bCs/>
          <w:color w:val="000000"/>
          <w:sz w:val="28"/>
          <w:szCs w:val="28"/>
        </w:rPr>
        <w:t>③ 组建一支高水平的教师队伍，助力育人方式改革</w:t>
      </w:r>
    </w:p>
    <w:p>
      <w:pPr>
        <w:spacing w:line="54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落实思政课教师准入制度，严格落实新任专职思政理论课教师应是中共党员，并具备马克思主义理论相关学科背景，包含社会哲学、经济管理、法学专业方向，硕士以上学位，兼职思政理论课教师应具有本科以上学历和相关专业背景要求，并按学校有关规定考核合格。配齐教师队伍，按照1∶350的师生比配备思想政治理论课专职教师，为每个教研室配齐师资。目前教师忙于应付教学任务，很少有时间和精力进修提高、学习考察及进行教学改革、课程建设和科学研究的局面。校内调配部分具有从事思政理论课教学经历，具备较强思政理论课科研能力的优秀党务工作者或辅导员担任思政理论课专职教师；聘请部分校领导、党政干部和辅导员，德高望重的退休教师，兄弟院校、省委党校、社科院等知名学者或马克思主义理论学科专家担任思政理论课兼职教师。加强教师培训。制定思想政治理论课教师培养培训规划，建立和完善有重点、分层次、多形式的师资培养培训体系。支持思政理论课骨干教师到国际国内一流哲学社会科学院校开展“名师访学”计划。</w:t>
      </w:r>
    </w:p>
    <w:p>
      <w:pPr>
        <w:spacing w:line="540" w:lineRule="exact"/>
        <w:ind w:firstLine="562" w:firstLineChars="200"/>
        <w:rPr>
          <w:rFonts w:ascii="仿宋" w:hAnsi="仿宋" w:eastAsia="仿宋" w:cs="仿宋"/>
          <w:b/>
          <w:bCs/>
          <w:color w:val="000000"/>
          <w:sz w:val="28"/>
          <w:szCs w:val="28"/>
        </w:rPr>
      </w:pPr>
      <w:r>
        <w:rPr>
          <w:rFonts w:hint="eastAsia" w:ascii="仿宋" w:hAnsi="仿宋" w:eastAsia="仿宋" w:cs="仿宋"/>
          <w:b/>
          <w:bCs/>
          <w:color w:val="000000"/>
          <w:sz w:val="28"/>
          <w:szCs w:val="28"/>
        </w:rPr>
        <w:t>④ 推动红色文化案例库的建设</w:t>
      </w:r>
    </w:p>
    <w:p>
      <w:pPr>
        <w:spacing w:line="54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为了更好地将红色文化与大学的课程思政融合到一起，需要对在这一过程中应该遵守什么样的目标、原则、方法和保障体系进行详细</w:t>
      </w:r>
      <w:r>
        <w:rPr>
          <w:rFonts w:hint="eastAsia" w:ascii="仿宋" w:hAnsi="仿宋" w:eastAsia="仿宋" w:cs="仿宋"/>
          <w:color w:val="000000"/>
          <w:sz w:val="28"/>
          <w:szCs w:val="28"/>
          <w:lang w:eastAsia="zh-CN"/>
        </w:rPr>
        <w:t>地</w:t>
      </w:r>
      <w:r>
        <w:rPr>
          <w:rFonts w:hint="eastAsia" w:ascii="仿宋" w:hAnsi="仿宋" w:eastAsia="仿宋" w:cs="仿宋"/>
          <w:color w:val="000000"/>
          <w:sz w:val="28"/>
          <w:szCs w:val="28"/>
        </w:rPr>
        <w:t>说明，并将其可视化地展示在数字化的平台上，从而形成一种具有针对性和可操作性的实践模型。在师生实践的层次上，在数字技术的引导下，怎样才能够更好地掌握红色文化与思政课程与课程思政融合的实施路径，对大部分的老师与学生来说仍然是一个很大的挑战。因此，在不同的课程中，老师们需要努力探讨，怎样才能构建出丰富多样、内容详实的红色文化案例体系。要考虑到大数据与人工智能信息的大样本搜集和储存问题，从而为构建红色文化案例体系提供一个可靠的实践平台。</w:t>
      </w:r>
    </w:p>
    <w:p>
      <w:pPr>
        <w:spacing w:line="54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案例设计与师生体验方面，需注重数据预测、视觉抓取及多重手段识别，从而广泛实现可视化的数据分析与应用。在具体操作方面，教师可将MOOC、混合式教学环境、知识图谱等相结合，设计一套具有动态特点的案例库运行与调适系统，以最大程度地满足师生通过自主嵌入与检索来实现案例库内容的筛选与更新。伴随着各行业对红色文化的理解与应用的加深，构建案例库的核心目的是，持续地与教师和学生对课程思政内容体系的新需求相匹配，并积极地对其进行调整或更新，从而让所教授的专业知识体系与思政内涵与时代发展要求相匹配。一方面，在构建“红色教育”案例库时，还可以引入关键字搜索的编程，使“红色教育”案件能够迅速识别出每一个“红色教育”案件的核心要义，另一方面，还能加快“红色教育”案件的内容更新速度。考虑到相同的一门课程有可能会有多名老师共同授课，而且在课程小组中，老师们的年龄和成员结构也会发生改变，因此，在案例的积累和调整中，可以让老师和学生能够用个性化的方法来进行案例的构建，并且在确保构建思维的相对独立性的前提下，让不同主题的构建结果能够相互分享。</w:t>
      </w:r>
    </w:p>
    <w:p>
      <w:pPr>
        <w:spacing w:line="54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（5）建设计划</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3"/>
        <w:gridCol w:w="2016"/>
        <w:gridCol w:w="3632"/>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1" w:hRule="atLeast"/>
          <w:jc w:val="center"/>
        </w:trPr>
        <w:tc>
          <w:tcPr>
            <w:tcW w:w="1123" w:type="dxa"/>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lang w:eastAsia="en-US"/>
              </w:rPr>
            </w:pPr>
            <w:r>
              <w:rPr>
                <w:rFonts w:hint="eastAsia" w:ascii="仿宋" w:hAnsi="仿宋" w:eastAsia="仿宋" w:cs="仿宋"/>
                <w:b/>
                <w:bCs/>
                <w:color w:val="000000"/>
                <w:kern w:val="0"/>
                <w:szCs w:val="21"/>
                <w:lang w:eastAsia="en-US"/>
              </w:rPr>
              <w:t>年度</w:t>
            </w:r>
          </w:p>
        </w:tc>
        <w:tc>
          <w:tcPr>
            <w:tcW w:w="2016" w:type="dxa"/>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lang w:eastAsia="en-US"/>
              </w:rPr>
            </w:pPr>
            <w:r>
              <w:rPr>
                <w:rFonts w:hint="eastAsia" w:ascii="仿宋" w:hAnsi="仿宋" w:eastAsia="仿宋" w:cs="仿宋"/>
                <w:b/>
                <w:bCs/>
                <w:color w:val="000000"/>
                <w:kern w:val="0"/>
                <w:szCs w:val="21"/>
                <w:lang w:eastAsia="en-US"/>
              </w:rPr>
              <w:t>建设任务</w:t>
            </w:r>
          </w:p>
        </w:tc>
        <w:tc>
          <w:tcPr>
            <w:tcW w:w="3632" w:type="dxa"/>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lang w:eastAsia="en-US"/>
              </w:rPr>
            </w:pPr>
            <w:r>
              <w:rPr>
                <w:rFonts w:hint="eastAsia" w:ascii="仿宋" w:hAnsi="仿宋" w:eastAsia="仿宋" w:cs="仿宋"/>
                <w:b/>
                <w:bCs/>
                <w:color w:val="000000"/>
                <w:kern w:val="0"/>
                <w:szCs w:val="21"/>
                <w:lang w:eastAsia="en-US"/>
              </w:rPr>
              <w:t>建设内容</w:t>
            </w:r>
          </w:p>
        </w:tc>
        <w:tc>
          <w:tcPr>
            <w:tcW w:w="1559" w:type="dxa"/>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lang w:eastAsia="en-US"/>
              </w:rPr>
            </w:pPr>
            <w:r>
              <w:rPr>
                <w:rFonts w:hint="eastAsia" w:ascii="仿宋" w:hAnsi="仿宋" w:eastAsia="仿宋" w:cs="仿宋"/>
                <w:b/>
                <w:bCs/>
                <w:color w:val="000000"/>
                <w:kern w:val="0"/>
                <w:szCs w:val="21"/>
                <w:lang w:eastAsia="en-US"/>
              </w:rPr>
              <w:t>负责部门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3" w:type="dxa"/>
            <w:vMerge w:val="restart"/>
            <w:vAlign w:val="center"/>
          </w:tcPr>
          <w:p>
            <w:pPr>
              <w:jc w:val="center"/>
              <w:rPr>
                <w:rFonts w:ascii="仿宋" w:hAnsi="仿宋" w:eastAsia="仿宋" w:cs="仿宋"/>
                <w:b/>
                <w:szCs w:val="21"/>
              </w:rPr>
            </w:pPr>
            <w:r>
              <w:rPr>
                <w:rFonts w:hint="eastAsia" w:ascii="仿宋" w:hAnsi="仿宋" w:eastAsia="仿宋" w:cs="仿宋"/>
                <w:b/>
                <w:szCs w:val="21"/>
              </w:rPr>
              <w:t>2023</w:t>
            </w:r>
          </w:p>
        </w:tc>
        <w:tc>
          <w:tcPr>
            <w:tcW w:w="2016" w:type="dxa"/>
            <w:vAlign w:val="center"/>
          </w:tcPr>
          <w:p>
            <w:pPr>
              <w:jc w:val="left"/>
              <w:rPr>
                <w:rFonts w:ascii="仿宋" w:hAnsi="仿宋" w:eastAsia="仿宋" w:cs="仿宋"/>
                <w:bCs/>
                <w:szCs w:val="21"/>
              </w:rPr>
            </w:pPr>
            <w:r>
              <w:rPr>
                <w:rFonts w:hint="eastAsia" w:ascii="仿宋" w:hAnsi="仿宋" w:eastAsia="仿宋" w:cs="仿宋"/>
                <w:bCs/>
                <w:szCs w:val="21"/>
              </w:rPr>
              <w:t>完成“数字马院”工程规划</w:t>
            </w:r>
          </w:p>
        </w:tc>
        <w:tc>
          <w:tcPr>
            <w:tcW w:w="3632" w:type="dxa"/>
            <w:vAlign w:val="center"/>
          </w:tcPr>
          <w:p>
            <w:pPr>
              <w:jc w:val="left"/>
              <w:rPr>
                <w:rFonts w:ascii="仿宋" w:hAnsi="仿宋" w:eastAsia="仿宋" w:cs="仿宋"/>
                <w:bCs/>
                <w:szCs w:val="21"/>
              </w:rPr>
            </w:pPr>
            <w:r>
              <w:rPr>
                <w:rFonts w:hint="eastAsia" w:ascii="仿宋" w:hAnsi="仿宋" w:eastAsia="仿宋" w:cs="仿宋"/>
                <w:bCs/>
                <w:szCs w:val="21"/>
              </w:rPr>
              <w:t>建设信息化思政课室，规划建设思想政治精品课。</w:t>
            </w:r>
          </w:p>
        </w:tc>
        <w:tc>
          <w:tcPr>
            <w:tcW w:w="1559" w:type="dxa"/>
            <w:vAlign w:val="center"/>
          </w:tcPr>
          <w:p>
            <w:pPr>
              <w:jc w:val="center"/>
              <w:rPr>
                <w:rFonts w:ascii="仿宋" w:hAnsi="仿宋" w:eastAsia="仿宋" w:cs="仿宋"/>
                <w:bCs/>
                <w:szCs w:val="21"/>
              </w:rPr>
            </w:pPr>
            <w:r>
              <w:rPr>
                <w:rFonts w:hint="eastAsia" w:ascii="仿宋" w:hAnsi="仿宋" w:eastAsia="仿宋" w:cs="仿宋"/>
                <w:bCs/>
                <w:szCs w:val="21"/>
              </w:rPr>
              <w:t>信息技术中心</w:t>
            </w:r>
          </w:p>
          <w:p>
            <w:pPr>
              <w:jc w:val="center"/>
              <w:rPr>
                <w:rFonts w:ascii="仿宋" w:hAnsi="仿宋" w:eastAsia="仿宋" w:cs="仿宋"/>
                <w:bCs/>
                <w:szCs w:val="21"/>
              </w:rPr>
            </w:pPr>
            <w:r>
              <w:rPr>
                <w:rFonts w:hint="eastAsia" w:ascii="仿宋" w:hAnsi="仿宋" w:eastAsia="仿宋" w:cs="仿宋"/>
                <w:bCs/>
                <w:szCs w:val="21"/>
              </w:rPr>
              <w:t>马克思主义学院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3" w:type="dxa"/>
            <w:vMerge w:val="continue"/>
            <w:vAlign w:val="center"/>
          </w:tcPr>
          <w:p>
            <w:pPr>
              <w:jc w:val="center"/>
              <w:rPr>
                <w:rFonts w:ascii="仿宋" w:hAnsi="仿宋" w:eastAsia="仿宋" w:cs="仿宋"/>
                <w:b/>
                <w:szCs w:val="21"/>
              </w:rPr>
            </w:pPr>
          </w:p>
        </w:tc>
        <w:tc>
          <w:tcPr>
            <w:tcW w:w="2016" w:type="dxa"/>
            <w:vAlign w:val="center"/>
          </w:tcPr>
          <w:p>
            <w:pPr>
              <w:jc w:val="left"/>
              <w:rPr>
                <w:rFonts w:ascii="仿宋" w:hAnsi="仿宋" w:eastAsia="仿宋" w:cs="仿宋"/>
                <w:bCs/>
                <w:szCs w:val="21"/>
              </w:rPr>
            </w:pPr>
            <w:r>
              <w:rPr>
                <w:rFonts w:hint="eastAsia" w:ascii="仿宋" w:hAnsi="仿宋" w:eastAsia="仿宋" w:cs="仿宋"/>
                <w:bCs/>
                <w:szCs w:val="21"/>
              </w:rPr>
              <w:t>修订完善和落实党委领导新时代马克思主义学院建设制度</w:t>
            </w:r>
          </w:p>
        </w:tc>
        <w:tc>
          <w:tcPr>
            <w:tcW w:w="3632" w:type="dxa"/>
            <w:vAlign w:val="center"/>
          </w:tcPr>
          <w:p>
            <w:pPr>
              <w:jc w:val="left"/>
              <w:rPr>
                <w:rFonts w:ascii="仿宋" w:hAnsi="仿宋" w:eastAsia="仿宋" w:cs="仿宋"/>
                <w:bCs/>
                <w:szCs w:val="21"/>
              </w:rPr>
            </w:pPr>
            <w:r>
              <w:rPr>
                <w:rFonts w:hint="eastAsia" w:ascii="仿宋" w:hAnsi="仿宋" w:eastAsia="仿宋" w:cs="仿宋"/>
                <w:szCs w:val="21"/>
              </w:rPr>
              <w:t>修订完善《2024-2026高水平马克思主义学院建设实施办法》，形成科学的书记、院长协同、分工机制，提升班子议事决策的科学化、民主化水平。严格落实马克思主义学院党组织会议和党政联席会议制度，突出党组织在教育教学中的领导地位。</w:t>
            </w:r>
          </w:p>
        </w:tc>
        <w:tc>
          <w:tcPr>
            <w:tcW w:w="1559" w:type="dxa"/>
            <w:vAlign w:val="center"/>
          </w:tcPr>
          <w:p>
            <w:pPr>
              <w:jc w:val="center"/>
              <w:rPr>
                <w:rFonts w:ascii="仿宋" w:hAnsi="仿宋" w:eastAsia="仿宋" w:cs="仿宋"/>
                <w:bCs/>
                <w:szCs w:val="21"/>
              </w:rPr>
            </w:pPr>
            <w:r>
              <w:rPr>
                <w:rFonts w:hint="eastAsia" w:ascii="仿宋" w:hAnsi="仿宋" w:eastAsia="仿宋" w:cs="仿宋"/>
                <w:bCs/>
                <w:szCs w:val="21"/>
              </w:rPr>
              <w:t>组织部</w:t>
            </w:r>
          </w:p>
          <w:p>
            <w:pPr>
              <w:jc w:val="center"/>
              <w:rPr>
                <w:rFonts w:ascii="仿宋" w:hAnsi="仿宋" w:eastAsia="仿宋" w:cs="仿宋"/>
                <w:bCs/>
                <w:szCs w:val="21"/>
              </w:rPr>
            </w:pPr>
            <w:r>
              <w:rPr>
                <w:rFonts w:hint="eastAsia" w:ascii="仿宋" w:hAnsi="仿宋" w:eastAsia="仿宋" w:cs="仿宋"/>
                <w:bCs/>
                <w:szCs w:val="21"/>
              </w:rPr>
              <w:t>马克思主义学院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3" w:type="dxa"/>
            <w:vMerge w:val="restart"/>
            <w:vAlign w:val="center"/>
          </w:tcPr>
          <w:p>
            <w:pPr>
              <w:jc w:val="center"/>
              <w:rPr>
                <w:rFonts w:ascii="仿宋" w:hAnsi="仿宋" w:eastAsia="仿宋" w:cs="仿宋"/>
                <w:b/>
                <w:szCs w:val="21"/>
              </w:rPr>
            </w:pPr>
            <w:r>
              <w:rPr>
                <w:rFonts w:hint="eastAsia" w:ascii="仿宋" w:hAnsi="仿宋" w:eastAsia="仿宋" w:cs="仿宋"/>
                <w:b/>
                <w:szCs w:val="21"/>
              </w:rPr>
              <w:t>2024</w:t>
            </w:r>
          </w:p>
        </w:tc>
        <w:tc>
          <w:tcPr>
            <w:tcW w:w="2016" w:type="dxa"/>
            <w:vAlign w:val="center"/>
          </w:tcPr>
          <w:p>
            <w:pPr>
              <w:jc w:val="left"/>
              <w:rPr>
                <w:rFonts w:ascii="仿宋" w:hAnsi="仿宋" w:eastAsia="仿宋" w:cs="仿宋"/>
                <w:bCs/>
                <w:szCs w:val="21"/>
              </w:rPr>
            </w:pPr>
            <w:r>
              <w:rPr>
                <w:rFonts w:hint="eastAsia" w:ascii="仿宋" w:hAnsi="仿宋" w:eastAsia="仿宋" w:cs="仿宋"/>
                <w:szCs w:val="21"/>
              </w:rPr>
              <w:t>推进数字化马克思主义学院建设</w:t>
            </w:r>
          </w:p>
        </w:tc>
        <w:tc>
          <w:tcPr>
            <w:tcW w:w="3632" w:type="dxa"/>
            <w:vAlign w:val="center"/>
          </w:tcPr>
          <w:p>
            <w:pPr>
              <w:pStyle w:val="15"/>
              <w:spacing w:after="0" w:line="240" w:lineRule="auto"/>
              <w:ind w:firstLine="0" w:firstLineChars="0"/>
              <w:jc w:val="left"/>
              <w:rPr>
                <w:sz w:val="21"/>
                <w:szCs w:val="21"/>
              </w:rPr>
            </w:pPr>
            <w:r>
              <w:rPr>
                <w:rFonts w:hint="eastAsia"/>
                <w:sz w:val="21"/>
                <w:szCs w:val="21"/>
              </w:rPr>
              <w:t>持续建设思想政治精品课。</w:t>
            </w:r>
          </w:p>
        </w:tc>
        <w:tc>
          <w:tcPr>
            <w:tcW w:w="1559" w:type="dxa"/>
            <w:vAlign w:val="center"/>
          </w:tcPr>
          <w:p>
            <w:pPr>
              <w:jc w:val="center"/>
              <w:rPr>
                <w:rFonts w:ascii="仿宋" w:hAnsi="仿宋" w:eastAsia="仿宋" w:cs="仿宋"/>
                <w:bCs/>
                <w:szCs w:val="21"/>
              </w:rPr>
            </w:pPr>
            <w:r>
              <w:rPr>
                <w:rFonts w:hint="eastAsia" w:ascii="仿宋" w:hAnsi="仿宋" w:eastAsia="仿宋" w:cs="仿宋"/>
                <w:bCs/>
                <w:szCs w:val="21"/>
              </w:rPr>
              <w:t>马克思主义学院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3" w:type="dxa"/>
            <w:vMerge w:val="continue"/>
            <w:vAlign w:val="center"/>
          </w:tcPr>
          <w:p>
            <w:pPr>
              <w:jc w:val="center"/>
              <w:rPr>
                <w:rFonts w:ascii="仿宋" w:hAnsi="仿宋" w:eastAsia="仿宋" w:cs="仿宋"/>
                <w:b/>
                <w:szCs w:val="21"/>
              </w:rPr>
            </w:pPr>
          </w:p>
        </w:tc>
        <w:tc>
          <w:tcPr>
            <w:tcW w:w="2016" w:type="dxa"/>
            <w:vAlign w:val="center"/>
          </w:tcPr>
          <w:p>
            <w:pPr>
              <w:jc w:val="left"/>
              <w:rPr>
                <w:rFonts w:ascii="仿宋" w:hAnsi="仿宋" w:eastAsia="仿宋" w:cs="仿宋"/>
                <w:szCs w:val="21"/>
              </w:rPr>
            </w:pPr>
            <w:r>
              <w:rPr>
                <w:rFonts w:hint="eastAsia" w:ascii="仿宋" w:hAnsi="仿宋" w:eastAsia="仿宋" w:cs="仿宋"/>
                <w:szCs w:val="21"/>
              </w:rPr>
              <w:t>实施“头雁”培育提升计划</w:t>
            </w:r>
          </w:p>
        </w:tc>
        <w:tc>
          <w:tcPr>
            <w:tcW w:w="3632" w:type="dxa"/>
            <w:vAlign w:val="center"/>
          </w:tcPr>
          <w:p>
            <w:pPr>
              <w:pStyle w:val="15"/>
              <w:spacing w:after="0" w:line="240" w:lineRule="auto"/>
              <w:ind w:firstLine="0" w:firstLineChars="0"/>
              <w:jc w:val="left"/>
              <w:rPr>
                <w:bCs w:val="0"/>
                <w:sz w:val="21"/>
                <w:szCs w:val="21"/>
              </w:rPr>
            </w:pPr>
            <w:r>
              <w:rPr>
                <w:rFonts w:hint="eastAsia"/>
                <w:bCs w:val="0"/>
                <w:sz w:val="21"/>
                <w:szCs w:val="21"/>
              </w:rPr>
              <w:t>对骨干教师进行一轮以上的培训，提升他们的业务素质和业务能力。</w:t>
            </w:r>
          </w:p>
        </w:tc>
        <w:tc>
          <w:tcPr>
            <w:tcW w:w="1559" w:type="dxa"/>
            <w:vAlign w:val="center"/>
          </w:tcPr>
          <w:p>
            <w:pPr>
              <w:jc w:val="center"/>
              <w:rPr>
                <w:rFonts w:ascii="仿宋" w:hAnsi="仿宋" w:eastAsia="仿宋" w:cs="仿宋"/>
                <w:bCs/>
                <w:szCs w:val="21"/>
              </w:rPr>
            </w:pPr>
            <w:r>
              <w:rPr>
                <w:rFonts w:hint="eastAsia" w:ascii="仿宋" w:hAnsi="仿宋" w:eastAsia="仿宋" w:cs="仿宋"/>
                <w:bCs/>
                <w:szCs w:val="21"/>
              </w:rPr>
              <w:t>马克思主义学院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3" w:type="dxa"/>
            <w:vMerge w:val="continue"/>
            <w:vAlign w:val="center"/>
          </w:tcPr>
          <w:p>
            <w:pPr>
              <w:jc w:val="center"/>
              <w:rPr>
                <w:rFonts w:ascii="仿宋" w:hAnsi="仿宋" w:eastAsia="仿宋" w:cs="仿宋"/>
                <w:b/>
                <w:szCs w:val="21"/>
              </w:rPr>
            </w:pPr>
          </w:p>
        </w:tc>
        <w:tc>
          <w:tcPr>
            <w:tcW w:w="2016" w:type="dxa"/>
            <w:vAlign w:val="center"/>
          </w:tcPr>
          <w:p>
            <w:pPr>
              <w:jc w:val="left"/>
              <w:rPr>
                <w:rFonts w:ascii="仿宋" w:hAnsi="仿宋" w:eastAsia="仿宋" w:cs="仿宋"/>
                <w:bCs/>
                <w:szCs w:val="21"/>
              </w:rPr>
            </w:pPr>
            <w:r>
              <w:rPr>
                <w:rFonts w:hint="eastAsia" w:ascii="仿宋" w:hAnsi="仿宋" w:eastAsia="仿宋" w:cs="仿宋"/>
                <w:szCs w:val="21"/>
              </w:rPr>
              <w:t>调整管理架构</w:t>
            </w:r>
          </w:p>
        </w:tc>
        <w:tc>
          <w:tcPr>
            <w:tcW w:w="3632" w:type="dxa"/>
            <w:vAlign w:val="center"/>
          </w:tcPr>
          <w:p>
            <w:pPr>
              <w:jc w:val="left"/>
              <w:rPr>
                <w:rFonts w:ascii="仿宋" w:hAnsi="仿宋" w:eastAsia="仿宋" w:cs="仿宋"/>
                <w:bCs/>
                <w:szCs w:val="21"/>
              </w:rPr>
            </w:pPr>
            <w:r>
              <w:rPr>
                <w:rFonts w:hint="eastAsia" w:ascii="仿宋" w:hAnsi="仿宋" w:eastAsia="仿宋" w:cs="仿宋"/>
                <w:szCs w:val="21"/>
              </w:rPr>
              <w:t>落实“1+4=10”教学管理架构，优化提升骨干教师队伍，并开展培训提高工作</w:t>
            </w:r>
          </w:p>
        </w:tc>
        <w:tc>
          <w:tcPr>
            <w:tcW w:w="1559" w:type="dxa"/>
            <w:vAlign w:val="center"/>
          </w:tcPr>
          <w:p>
            <w:pPr>
              <w:jc w:val="center"/>
              <w:rPr>
                <w:rFonts w:ascii="仿宋" w:hAnsi="仿宋" w:eastAsia="仿宋" w:cs="仿宋"/>
                <w:bCs/>
                <w:szCs w:val="21"/>
              </w:rPr>
            </w:pPr>
            <w:r>
              <w:rPr>
                <w:rFonts w:hint="eastAsia" w:ascii="仿宋" w:hAnsi="仿宋" w:eastAsia="仿宋" w:cs="仿宋"/>
                <w:bCs/>
                <w:szCs w:val="21"/>
              </w:rPr>
              <w:t>人事处</w:t>
            </w:r>
          </w:p>
          <w:p>
            <w:pPr>
              <w:jc w:val="center"/>
              <w:rPr>
                <w:rFonts w:ascii="仿宋" w:hAnsi="仿宋" w:eastAsia="仿宋" w:cs="仿宋"/>
                <w:bCs/>
                <w:szCs w:val="21"/>
              </w:rPr>
            </w:pPr>
            <w:r>
              <w:rPr>
                <w:rFonts w:hint="eastAsia" w:ascii="仿宋" w:hAnsi="仿宋" w:eastAsia="仿宋" w:cs="仿宋"/>
                <w:bCs/>
                <w:szCs w:val="21"/>
              </w:rPr>
              <w:t>马克思主义学院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3" w:type="dxa"/>
            <w:vMerge w:val="continue"/>
            <w:vAlign w:val="center"/>
          </w:tcPr>
          <w:p>
            <w:pPr>
              <w:jc w:val="center"/>
              <w:rPr>
                <w:rFonts w:ascii="仿宋" w:hAnsi="仿宋" w:eastAsia="仿宋" w:cs="仿宋"/>
                <w:b/>
                <w:szCs w:val="21"/>
              </w:rPr>
            </w:pPr>
          </w:p>
        </w:tc>
        <w:tc>
          <w:tcPr>
            <w:tcW w:w="2016" w:type="dxa"/>
            <w:vAlign w:val="center"/>
          </w:tcPr>
          <w:p>
            <w:pPr>
              <w:jc w:val="left"/>
              <w:rPr>
                <w:rFonts w:ascii="仿宋" w:hAnsi="仿宋" w:eastAsia="仿宋" w:cs="仿宋"/>
                <w:bCs/>
                <w:szCs w:val="21"/>
              </w:rPr>
            </w:pPr>
            <w:r>
              <w:rPr>
                <w:rFonts w:hint="eastAsia" w:ascii="仿宋" w:hAnsi="仿宋" w:eastAsia="仿宋" w:cs="仿宋"/>
                <w:szCs w:val="21"/>
              </w:rPr>
              <w:t>修订完善一批教学管理和内部激励制度</w:t>
            </w:r>
          </w:p>
        </w:tc>
        <w:tc>
          <w:tcPr>
            <w:tcW w:w="3632" w:type="dxa"/>
            <w:vAlign w:val="center"/>
          </w:tcPr>
          <w:p>
            <w:pPr>
              <w:pStyle w:val="15"/>
              <w:spacing w:after="0" w:line="240" w:lineRule="auto"/>
              <w:ind w:firstLine="420"/>
              <w:jc w:val="left"/>
              <w:rPr>
                <w:sz w:val="21"/>
                <w:szCs w:val="21"/>
              </w:rPr>
            </w:pPr>
            <w:r>
              <w:rPr>
                <w:rFonts w:hint="eastAsia"/>
                <w:bCs w:val="0"/>
                <w:sz w:val="21"/>
                <w:szCs w:val="21"/>
              </w:rPr>
              <w:t>一是完善党建工作制度，强化纪律建设和内部治理体系。二是完善学术管理制度，保障学术民主和教授治学。三是完善教师大会管理制度，保障民主管理和民主监督。四是完善行政管理制度，促进工作高效运作。五是完善激励制度，调动人员积极性。六是改革完善各项绩效评价分配制度，完善吸引各类人才、激励人才贡献的薪酬制度，建设一支较高水平的双师型教师队伍。七是编印制度汇编。</w:t>
            </w:r>
          </w:p>
        </w:tc>
        <w:tc>
          <w:tcPr>
            <w:tcW w:w="1559" w:type="dxa"/>
            <w:vAlign w:val="center"/>
          </w:tcPr>
          <w:p>
            <w:pPr>
              <w:jc w:val="center"/>
              <w:rPr>
                <w:rFonts w:ascii="仿宋" w:hAnsi="仿宋" w:eastAsia="仿宋" w:cs="仿宋"/>
                <w:bCs/>
                <w:szCs w:val="21"/>
              </w:rPr>
            </w:pPr>
            <w:r>
              <w:rPr>
                <w:rFonts w:hint="eastAsia" w:ascii="仿宋" w:hAnsi="仿宋" w:eastAsia="仿宋" w:cs="仿宋"/>
                <w:bCs/>
                <w:szCs w:val="21"/>
              </w:rPr>
              <w:t>党政办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3" w:type="dxa"/>
            <w:vMerge w:val="restart"/>
            <w:vAlign w:val="center"/>
          </w:tcPr>
          <w:p>
            <w:pPr>
              <w:jc w:val="center"/>
              <w:rPr>
                <w:rFonts w:ascii="仿宋" w:hAnsi="仿宋" w:eastAsia="仿宋" w:cs="仿宋"/>
                <w:b/>
                <w:szCs w:val="21"/>
              </w:rPr>
            </w:pPr>
            <w:r>
              <w:rPr>
                <w:rFonts w:hint="eastAsia" w:ascii="仿宋" w:hAnsi="仿宋" w:eastAsia="仿宋" w:cs="仿宋"/>
                <w:b/>
                <w:szCs w:val="21"/>
              </w:rPr>
              <w:t>2025</w:t>
            </w:r>
          </w:p>
        </w:tc>
        <w:tc>
          <w:tcPr>
            <w:tcW w:w="2016" w:type="dxa"/>
            <w:vAlign w:val="center"/>
          </w:tcPr>
          <w:p>
            <w:pPr>
              <w:pStyle w:val="15"/>
              <w:spacing w:after="0" w:line="240" w:lineRule="auto"/>
              <w:ind w:firstLine="0" w:firstLineChars="0"/>
              <w:jc w:val="left"/>
              <w:rPr>
                <w:sz w:val="21"/>
                <w:szCs w:val="21"/>
              </w:rPr>
            </w:pPr>
            <w:r>
              <w:rPr>
                <w:rFonts w:hint="eastAsia"/>
                <w:bCs w:val="0"/>
                <w:sz w:val="21"/>
                <w:szCs w:val="21"/>
              </w:rPr>
              <w:t>形成红色文化融入的思政课程与课程思政体系和实践案例资源库</w:t>
            </w:r>
          </w:p>
        </w:tc>
        <w:tc>
          <w:tcPr>
            <w:tcW w:w="3632" w:type="dxa"/>
            <w:vAlign w:val="center"/>
          </w:tcPr>
          <w:p>
            <w:pPr>
              <w:pStyle w:val="15"/>
              <w:spacing w:after="0" w:line="240" w:lineRule="auto"/>
              <w:ind w:firstLine="0" w:firstLineChars="0"/>
              <w:jc w:val="left"/>
              <w:rPr>
                <w:sz w:val="21"/>
                <w:szCs w:val="21"/>
              </w:rPr>
            </w:pPr>
            <w:r>
              <w:rPr>
                <w:rFonts w:hint="eastAsia"/>
                <w:bCs w:val="0"/>
                <w:sz w:val="21"/>
                <w:szCs w:val="21"/>
              </w:rPr>
              <w:t>形成比较固定的运行模式，取得较好的改革成效。</w:t>
            </w:r>
          </w:p>
        </w:tc>
        <w:tc>
          <w:tcPr>
            <w:tcW w:w="1559" w:type="dxa"/>
            <w:vAlign w:val="center"/>
          </w:tcPr>
          <w:p>
            <w:pPr>
              <w:jc w:val="center"/>
              <w:rPr>
                <w:rFonts w:ascii="仿宋" w:hAnsi="仿宋" w:eastAsia="仿宋" w:cs="仿宋"/>
                <w:bCs/>
                <w:szCs w:val="21"/>
              </w:rPr>
            </w:pPr>
            <w:r>
              <w:rPr>
                <w:rFonts w:hint="eastAsia" w:ascii="仿宋" w:hAnsi="仿宋" w:eastAsia="仿宋" w:cs="仿宋"/>
                <w:bCs/>
                <w:szCs w:val="21"/>
              </w:rPr>
              <w:t>马克思主义学院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3" w:type="dxa"/>
            <w:vMerge w:val="continue"/>
            <w:vAlign w:val="center"/>
          </w:tcPr>
          <w:p>
            <w:pPr>
              <w:jc w:val="center"/>
              <w:rPr>
                <w:rFonts w:ascii="仿宋" w:hAnsi="仿宋" w:eastAsia="仿宋" w:cs="仿宋"/>
                <w:bCs/>
                <w:szCs w:val="21"/>
              </w:rPr>
            </w:pPr>
          </w:p>
        </w:tc>
        <w:tc>
          <w:tcPr>
            <w:tcW w:w="2016" w:type="dxa"/>
            <w:vAlign w:val="center"/>
          </w:tcPr>
          <w:p>
            <w:pPr>
              <w:pStyle w:val="15"/>
              <w:spacing w:after="0" w:line="240" w:lineRule="auto"/>
              <w:ind w:firstLine="0" w:firstLineChars="0"/>
              <w:jc w:val="left"/>
              <w:rPr>
                <w:sz w:val="21"/>
                <w:szCs w:val="21"/>
              </w:rPr>
            </w:pPr>
            <w:r>
              <w:rPr>
                <w:rFonts w:hint="eastAsia"/>
                <w:bCs w:val="0"/>
                <w:sz w:val="21"/>
                <w:szCs w:val="21"/>
              </w:rPr>
              <w:t>完善三全育人体制的构建</w:t>
            </w:r>
          </w:p>
        </w:tc>
        <w:tc>
          <w:tcPr>
            <w:tcW w:w="3632" w:type="dxa"/>
            <w:vAlign w:val="center"/>
          </w:tcPr>
          <w:p>
            <w:pPr>
              <w:pStyle w:val="15"/>
              <w:spacing w:after="0" w:line="240" w:lineRule="auto"/>
              <w:ind w:firstLine="0" w:firstLineChars="0"/>
              <w:jc w:val="left"/>
              <w:rPr>
                <w:sz w:val="21"/>
                <w:szCs w:val="21"/>
              </w:rPr>
            </w:pPr>
            <w:r>
              <w:rPr>
                <w:rFonts w:hint="eastAsia"/>
                <w:bCs w:val="0"/>
                <w:sz w:val="21"/>
                <w:szCs w:val="21"/>
              </w:rPr>
              <w:t>通过红色文化融入思政课程与课程思政，助力大中小学思政课一体化建设，升级完善实施“双元”培养模式改革；完成构建与高水平专业群相配套的专业课程思政体系；完成思政课实践教学模式的构建；助力新工科建设，“四维一体、五员协同”的十大育人体系。</w:t>
            </w:r>
          </w:p>
        </w:tc>
        <w:tc>
          <w:tcPr>
            <w:tcW w:w="1559" w:type="dxa"/>
            <w:vAlign w:val="center"/>
          </w:tcPr>
          <w:p>
            <w:pPr>
              <w:jc w:val="center"/>
              <w:rPr>
                <w:rFonts w:ascii="仿宋" w:hAnsi="仿宋" w:eastAsia="仿宋" w:cs="仿宋"/>
                <w:bCs/>
                <w:szCs w:val="21"/>
              </w:rPr>
            </w:pPr>
            <w:r>
              <w:rPr>
                <w:rFonts w:hint="eastAsia" w:ascii="仿宋" w:hAnsi="仿宋" w:eastAsia="仿宋" w:cs="仿宋"/>
                <w:bCs/>
                <w:szCs w:val="21"/>
              </w:rPr>
              <w:t>马克思主义学院</w:t>
            </w:r>
          </w:p>
        </w:tc>
      </w:tr>
    </w:tbl>
    <w:p>
      <w:pPr>
        <w:spacing w:line="54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（6）预期成效及资金测算</w:t>
      </w:r>
    </w:p>
    <w:tbl>
      <w:tblPr>
        <w:tblStyle w:val="16"/>
        <w:tblW w:w="0" w:type="auto"/>
        <w:jc w:val="center"/>
        <w:tblLayout w:type="autofit"/>
        <w:tblCellMar>
          <w:top w:w="15" w:type="dxa"/>
          <w:left w:w="15" w:type="dxa"/>
          <w:bottom w:w="15" w:type="dxa"/>
          <w:right w:w="15" w:type="dxa"/>
        </w:tblCellMar>
      </w:tblPr>
      <w:tblGrid>
        <w:gridCol w:w="1064"/>
        <w:gridCol w:w="3791"/>
        <w:gridCol w:w="1975"/>
        <w:gridCol w:w="502"/>
        <w:gridCol w:w="502"/>
        <w:gridCol w:w="502"/>
      </w:tblGrid>
      <w:tr>
        <w:tblPrEx>
          <w:tblCellMar>
            <w:top w:w="15" w:type="dxa"/>
            <w:left w:w="15" w:type="dxa"/>
            <w:bottom w:w="15" w:type="dxa"/>
            <w:right w:w="15" w:type="dxa"/>
          </w:tblCellMar>
        </w:tblPrEx>
        <w:trPr>
          <w:trHeight w:val="301"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项目名称</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主要建设内容</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预期建设成效</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建设资金安排表（万元）</w:t>
            </w:r>
          </w:p>
        </w:tc>
      </w:tr>
      <w:tr>
        <w:tblPrEx>
          <w:tblCellMar>
            <w:top w:w="15" w:type="dxa"/>
            <w:left w:w="15" w:type="dxa"/>
            <w:bottom w:w="15" w:type="dxa"/>
            <w:right w:w="15" w:type="dxa"/>
          </w:tblCellMar>
        </w:tblPrEx>
        <w:trPr>
          <w:trHeight w:val="801"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jc w:val="center"/>
              <w:rPr>
                <w:rFonts w:ascii="仿宋" w:hAnsi="仿宋" w:eastAsia="仿宋" w:cs="仿宋"/>
                <w:b/>
                <w:bCs/>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jc w:val="center"/>
              <w:rPr>
                <w:rFonts w:ascii="仿宋" w:hAnsi="仿宋" w:eastAsia="仿宋" w:cs="仿宋"/>
                <w:b/>
                <w:bCs/>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jc w:val="center"/>
              <w:rPr>
                <w:rFonts w:ascii="仿宋" w:hAnsi="仿宋" w:eastAsia="仿宋" w:cs="仿宋"/>
                <w:b/>
                <w:bCs/>
                <w:color w:val="000000"/>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kern w:val="0"/>
                <w:szCs w:val="21"/>
                <w:lang w:bidi="ar"/>
              </w:rPr>
            </w:pPr>
            <w:r>
              <w:rPr>
                <w:rFonts w:hint="eastAsia" w:ascii="仿宋" w:hAnsi="仿宋" w:eastAsia="仿宋" w:cs="仿宋"/>
                <w:b/>
                <w:bCs/>
                <w:color w:val="000000"/>
                <w:kern w:val="0"/>
                <w:szCs w:val="21"/>
                <w:lang w:bidi="ar"/>
              </w:rPr>
              <w:t>2023年</w:t>
            </w:r>
          </w:p>
        </w:tc>
        <w:tc>
          <w:tcPr>
            <w:tcW w:w="0" w:type="auto"/>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2024年</w:t>
            </w:r>
          </w:p>
        </w:tc>
        <w:tc>
          <w:tcPr>
            <w:tcW w:w="0" w:type="auto"/>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kern w:val="0"/>
                <w:szCs w:val="21"/>
                <w:lang w:bidi="ar"/>
              </w:rPr>
              <w:t>2025年</w:t>
            </w:r>
          </w:p>
        </w:tc>
      </w:tr>
      <w:tr>
        <w:tblPrEx>
          <w:tblCellMar>
            <w:top w:w="15" w:type="dxa"/>
            <w:left w:w="15" w:type="dxa"/>
            <w:bottom w:w="15" w:type="dxa"/>
            <w:right w:w="15" w:type="dxa"/>
          </w:tblCellMar>
        </w:tblPrEx>
        <w:trPr>
          <w:trHeight w:val="450" w:hRule="atLeast"/>
          <w:jc w:val="center"/>
        </w:trPr>
        <w:tc>
          <w:tcPr>
            <w:tcW w:w="0" w:type="auto"/>
            <w:tcBorders>
              <w:top w:val="single" w:color="000000" w:sz="4" w:space="0"/>
              <w:left w:val="single" w:color="000000" w:sz="4" w:space="0"/>
              <w:bottom w:val="single" w:color="000000" w:sz="4" w:space="0"/>
              <w:right w:val="single" w:color="000000" w:sz="4" w:space="0"/>
            </w:tcBorders>
            <w:vAlign w:val="bottom"/>
          </w:tcPr>
          <w:p>
            <w:pPr>
              <w:rPr>
                <w:rFonts w:ascii="仿宋" w:hAnsi="仿宋" w:eastAsia="仿宋" w:cs="仿宋"/>
                <w:b/>
                <w:bCs/>
                <w:color w:val="000000"/>
                <w:szCs w:val="21"/>
              </w:rPr>
            </w:pPr>
            <w:r>
              <w:rPr>
                <w:rFonts w:hint="eastAsia" w:ascii="仿宋" w:hAnsi="仿宋" w:eastAsia="仿宋" w:cs="仿宋"/>
                <w:b/>
                <w:bCs/>
                <w:color w:val="000000"/>
                <w:szCs w:val="21"/>
              </w:rPr>
              <w:t>践行习近平文化思想，</w:t>
            </w:r>
            <w:r>
              <w:fldChar w:fldCharType="begin"/>
            </w:r>
            <w:r>
              <w:instrText xml:space="preserve"> HYPERLINK \l "_Toc7302" </w:instrText>
            </w:r>
            <w:r>
              <w:fldChar w:fldCharType="separate"/>
            </w:r>
            <w:r>
              <w:rPr>
                <w:rFonts w:hint="eastAsia" w:ascii="仿宋" w:hAnsi="仿宋" w:eastAsia="仿宋" w:cs="仿宋"/>
                <w:b/>
                <w:bCs/>
                <w:color w:val="000000"/>
                <w:szCs w:val="21"/>
              </w:rPr>
              <w:t>红色文化融入育人实践项目</w:t>
            </w:r>
            <w:r>
              <w:rPr>
                <w:rFonts w:hint="eastAsia" w:ascii="仿宋" w:hAnsi="仿宋" w:eastAsia="仿宋" w:cs="仿宋"/>
                <w:b/>
                <w:bCs/>
                <w:color w:val="000000"/>
                <w:szCs w:val="21"/>
              </w:rPr>
              <w:fldChar w:fldCharType="end"/>
            </w:r>
          </w:p>
        </w:tc>
        <w:tc>
          <w:tcPr>
            <w:tcW w:w="0" w:type="auto"/>
            <w:tcBorders>
              <w:top w:val="single" w:color="000000" w:sz="4" w:space="0"/>
              <w:left w:val="single" w:color="000000" w:sz="4" w:space="0"/>
              <w:bottom w:val="single" w:color="000000" w:sz="4" w:space="0"/>
              <w:right w:val="single" w:color="000000" w:sz="4" w:space="0"/>
            </w:tcBorders>
            <w:vAlign w:val="center"/>
          </w:tcPr>
          <w:p>
            <w:pPr>
              <w:jc w:val="left"/>
              <w:rPr>
                <w:rFonts w:ascii="仿宋" w:hAnsi="仿宋" w:eastAsia="仿宋" w:cs="仿宋"/>
                <w:color w:val="000000"/>
                <w:szCs w:val="21"/>
              </w:rPr>
            </w:pPr>
            <w:r>
              <w:rPr>
                <w:rFonts w:hint="eastAsia" w:ascii="仿宋" w:hAnsi="仿宋" w:eastAsia="仿宋" w:cs="仿宋"/>
                <w:color w:val="000000"/>
                <w:szCs w:val="21"/>
              </w:rPr>
              <w:t>培育一批优质教学资源，打造一批惠工特色的 “思政课程+课程思政” 精品课程，建设一支素质优良的思政课教师队伍，实施互联网时代“数字马院”工程，把马克思主义学校建设成为具有鲜明特色和影响力的思想阵地，惠州一流的爱国主义教育基地。</w:t>
            </w:r>
          </w:p>
        </w:tc>
        <w:tc>
          <w:tcPr>
            <w:tcW w:w="0" w:type="auto"/>
            <w:tcBorders>
              <w:top w:val="single" w:color="000000" w:sz="4" w:space="0"/>
              <w:left w:val="single" w:color="000000" w:sz="4" w:space="0"/>
              <w:bottom w:val="single" w:color="000000" w:sz="4" w:space="0"/>
              <w:right w:val="single" w:color="000000" w:sz="4" w:space="0"/>
            </w:tcBorders>
            <w:vAlign w:val="center"/>
          </w:tcPr>
          <w:p>
            <w:pPr>
              <w:jc w:val="left"/>
              <w:rPr>
                <w:rFonts w:ascii="仿宋" w:hAnsi="仿宋" w:eastAsia="仿宋" w:cs="仿宋"/>
                <w:color w:val="000000"/>
                <w:szCs w:val="21"/>
              </w:rPr>
            </w:pPr>
            <w:r>
              <w:rPr>
                <w:rFonts w:hint="eastAsia" w:ascii="仿宋" w:hAnsi="仿宋" w:eastAsia="仿宋" w:cs="仿宋"/>
                <w:color w:val="000000"/>
                <w:szCs w:val="21"/>
              </w:rPr>
              <w:t>实施“数字马院”工程、开展红色文化特色的“名师金课”建设、组建高水平特色师资队伍、推动红色文化案例库建设</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Cs w:val="21"/>
              </w:rPr>
            </w:pPr>
            <w:r>
              <w:rPr>
                <w:rFonts w:hint="eastAsia" w:ascii="仿宋" w:hAnsi="仿宋" w:eastAsia="仿宋" w:cs="仿宋"/>
                <w:color w:val="000000"/>
                <w:szCs w:val="21"/>
              </w:rPr>
              <w:t>50</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Cs w:val="21"/>
              </w:rPr>
            </w:pPr>
            <w:r>
              <w:rPr>
                <w:rFonts w:hint="eastAsia" w:ascii="仿宋" w:hAnsi="仿宋" w:eastAsia="仿宋" w:cs="仿宋"/>
                <w:color w:val="000000"/>
                <w:szCs w:val="21"/>
              </w:rPr>
              <w:t>50</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Cs w:val="21"/>
              </w:rPr>
            </w:pPr>
            <w:r>
              <w:rPr>
                <w:rFonts w:hint="eastAsia" w:ascii="仿宋" w:hAnsi="仿宋" w:eastAsia="仿宋" w:cs="仿宋"/>
                <w:color w:val="000000"/>
                <w:szCs w:val="21"/>
              </w:rPr>
              <w:t>100</w:t>
            </w:r>
          </w:p>
        </w:tc>
      </w:tr>
    </w:tbl>
    <w:p>
      <w:pPr>
        <w:spacing w:line="540" w:lineRule="exact"/>
        <w:rPr>
          <w:rFonts w:ascii="仿宋" w:hAnsi="仿宋" w:eastAsia="仿宋" w:cs="仿宋"/>
          <w:b/>
          <w:bCs/>
          <w:sz w:val="28"/>
          <w:szCs w:val="28"/>
        </w:rPr>
      </w:pPr>
    </w:p>
    <w:p/>
    <w:p>
      <w:pPr>
        <w:pStyle w:val="4"/>
      </w:pPr>
      <w:bookmarkStart w:id="83" w:name="_Toc164347863"/>
      <w:r>
        <w:rPr>
          <w:rFonts w:hint="eastAsia"/>
        </w:rPr>
        <w:t>2.</w:t>
      </w:r>
      <w:bookmarkStart w:id="84" w:name="_Toc6108"/>
      <w:r>
        <w:rPr>
          <w:rFonts w:hint="eastAsia"/>
        </w:rPr>
        <w:t>弘扬爱国主义精神，国防教育文明实践</w:t>
      </w:r>
      <w:r>
        <w:fldChar w:fldCharType="begin"/>
      </w:r>
      <w:r>
        <w:instrText xml:space="preserve"> HYPERLINK \l "_Toc10407" </w:instrText>
      </w:r>
      <w:r>
        <w:fldChar w:fldCharType="separate"/>
      </w:r>
      <w:r>
        <w:rPr>
          <w:rFonts w:hint="eastAsia"/>
        </w:rPr>
        <w:t>建设项目</w:t>
      </w:r>
      <w:bookmarkEnd w:id="83"/>
      <w:r>
        <w:rPr>
          <w:rFonts w:hint="eastAsia"/>
        </w:rPr>
        <w:fldChar w:fldCharType="end"/>
      </w:r>
      <w:bookmarkEnd w:id="84"/>
    </w:p>
    <w:p>
      <w:pPr>
        <w:spacing w:line="54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w:t>
      </w:r>
      <w:r>
        <w:rPr>
          <w:rFonts w:hint="eastAsia" w:ascii="Times New Roman" w:hAnsi="Times New Roman" w:eastAsia="仿宋" w:cs="Times New Roman"/>
          <w:b/>
          <w:bCs/>
          <w:sz w:val="28"/>
          <w:szCs w:val="28"/>
        </w:rPr>
        <w:t>1</w:t>
      </w:r>
      <w:r>
        <w:rPr>
          <w:rFonts w:hint="eastAsia" w:ascii="仿宋" w:hAnsi="仿宋" w:eastAsia="仿宋" w:cs="仿宋"/>
          <w:b/>
          <w:bCs/>
          <w:sz w:val="28"/>
          <w:szCs w:val="28"/>
        </w:rPr>
        <w:t>）必要性和可行性</w:t>
      </w:r>
    </w:p>
    <w:p>
      <w:pPr>
        <w:spacing w:line="540" w:lineRule="exact"/>
        <w:ind w:firstLine="560" w:firstLineChars="200"/>
        <w:rPr>
          <w:rFonts w:ascii="仿宋" w:hAnsi="仿宋" w:eastAsia="仿宋"/>
          <w:bCs/>
          <w:sz w:val="28"/>
          <w:szCs w:val="28"/>
        </w:rPr>
      </w:pPr>
      <w:r>
        <w:rPr>
          <w:rFonts w:hint="eastAsia" w:ascii="仿宋" w:hAnsi="仿宋" w:eastAsia="仿宋"/>
          <w:bCs/>
          <w:sz w:val="28"/>
          <w:szCs w:val="28"/>
        </w:rPr>
        <w:t>“国无防不立，民无防不安。”国防是</w:t>
      </w:r>
      <w:r>
        <w:rPr>
          <w:rFonts w:hint="eastAsia" w:ascii="仿宋" w:hAnsi="仿宋" w:eastAsia="仿宋"/>
          <w:bCs/>
          <w:sz w:val="28"/>
          <w:szCs w:val="28"/>
          <w:lang w:eastAsia="zh-CN"/>
        </w:rPr>
        <w:t>关系</w:t>
      </w:r>
      <w:r>
        <w:rPr>
          <w:rFonts w:hint="eastAsia" w:ascii="仿宋" w:hAnsi="仿宋" w:eastAsia="仿宋"/>
          <w:bCs/>
          <w:sz w:val="28"/>
          <w:szCs w:val="28"/>
        </w:rPr>
        <w:t>国家和民族生死存亡的根本大计，中华人民共和国的每一位公民，都应当增强国防安全意识，掌握国防安全知识。高校国防教育的目的在于增强大学生的国防意识和国家安全意识，传授国防知识，使大学生了解国防的必要性和重要性，掌握基本的国防知识和军事技能，培养大学生的爱国主义精神，增强民族自豪感和凝聚力，激发大学生为国家安全和国防建设作出贡献的积极性，提高大学生在战争和紧急状态下的生存能力和自我保护能力，为国防建设提供有力的人力资源支持。</w:t>
      </w:r>
    </w:p>
    <w:p>
      <w:pPr>
        <w:spacing w:line="540" w:lineRule="exact"/>
        <w:ind w:firstLine="560" w:firstLineChars="200"/>
        <w:rPr>
          <w:rFonts w:ascii="仿宋" w:hAnsi="仿宋" w:eastAsia="仿宋"/>
          <w:bCs/>
          <w:sz w:val="28"/>
          <w:szCs w:val="28"/>
        </w:rPr>
      </w:pPr>
      <w:r>
        <w:rPr>
          <w:rFonts w:hint="eastAsia" w:ascii="仿宋" w:hAnsi="仿宋" w:eastAsia="仿宋"/>
          <w:bCs/>
          <w:sz w:val="28"/>
          <w:szCs w:val="28"/>
        </w:rPr>
        <w:t>开展国防教育文明实践是国家安全需</w:t>
      </w:r>
      <w:r>
        <w:rPr>
          <w:rFonts w:ascii="仿宋" w:hAnsi="仿宋" w:eastAsia="仿宋"/>
          <w:bCs/>
          <w:sz w:val="28"/>
          <w:szCs w:val="28"/>
        </w:rPr>
        <w:t>要</w:t>
      </w:r>
      <w:r>
        <w:rPr>
          <w:rFonts w:hint="eastAsia" w:ascii="仿宋" w:hAnsi="仿宋" w:eastAsia="仿宋"/>
          <w:bCs/>
          <w:sz w:val="28"/>
          <w:szCs w:val="28"/>
        </w:rPr>
        <w:t>。</w:t>
      </w:r>
      <w:r>
        <w:rPr>
          <w:rFonts w:ascii="仿宋" w:hAnsi="仿宋" w:eastAsia="仿宋"/>
          <w:bCs/>
          <w:sz w:val="28"/>
          <w:szCs w:val="28"/>
        </w:rPr>
        <w:t>国防安全是国家安全的重要组成部分。高校作为人才培养的重要基地，加强国防教育，培养具备国防意识的高素质人才，对于维护国家安全具有重要意义</w:t>
      </w:r>
      <w:r>
        <w:rPr>
          <w:rFonts w:hint="eastAsia" w:ascii="仿宋" w:hAnsi="仿宋" w:eastAsia="仿宋"/>
          <w:bCs/>
          <w:sz w:val="28"/>
          <w:szCs w:val="28"/>
        </w:rPr>
        <w:t>；开展国防教育文明实践是教</w:t>
      </w:r>
      <w:r>
        <w:rPr>
          <w:rFonts w:ascii="仿宋" w:hAnsi="仿宋" w:eastAsia="仿宋"/>
          <w:bCs/>
          <w:sz w:val="28"/>
          <w:szCs w:val="28"/>
        </w:rPr>
        <w:t>育改革趋势</w:t>
      </w:r>
      <w:r>
        <w:rPr>
          <w:rFonts w:hint="eastAsia" w:ascii="仿宋" w:hAnsi="仿宋" w:eastAsia="仿宋"/>
          <w:bCs/>
          <w:sz w:val="28"/>
          <w:szCs w:val="28"/>
        </w:rPr>
        <w:t>。</w:t>
      </w:r>
      <w:r>
        <w:rPr>
          <w:rFonts w:ascii="仿宋" w:hAnsi="仿宋" w:eastAsia="仿宋"/>
          <w:bCs/>
          <w:sz w:val="28"/>
          <w:szCs w:val="28"/>
        </w:rPr>
        <w:t>随着教育改革的不断深化，高校需要不断探索新的教育模式与路径。军民融合国防教育基地的建设，既是对教育改革的一种积极探索，也是高校履行社会责任的重要体现</w:t>
      </w:r>
      <w:r>
        <w:rPr>
          <w:rFonts w:hint="eastAsia" w:ascii="仿宋" w:hAnsi="仿宋" w:eastAsia="仿宋"/>
          <w:bCs/>
          <w:sz w:val="28"/>
          <w:szCs w:val="28"/>
        </w:rPr>
        <w:t>；开展国防教育文明实践是</w:t>
      </w:r>
      <w:r>
        <w:rPr>
          <w:rFonts w:ascii="仿宋" w:hAnsi="仿宋" w:eastAsia="仿宋"/>
          <w:bCs/>
          <w:sz w:val="28"/>
          <w:szCs w:val="28"/>
        </w:rPr>
        <w:t>人才培养需求</w:t>
      </w:r>
      <w:r>
        <w:rPr>
          <w:rFonts w:hint="eastAsia" w:ascii="仿宋" w:hAnsi="仿宋" w:eastAsia="仿宋"/>
          <w:bCs/>
          <w:sz w:val="28"/>
          <w:szCs w:val="28"/>
        </w:rPr>
        <w:t>。</w:t>
      </w:r>
      <w:r>
        <w:rPr>
          <w:rFonts w:ascii="仿宋" w:hAnsi="仿宋" w:eastAsia="仿宋"/>
          <w:bCs/>
          <w:sz w:val="28"/>
          <w:szCs w:val="28"/>
        </w:rPr>
        <w:t>在全球化背景下，人才的培养已经不仅仅局限于专业技能的掌握，更需要具备国际视野与国防意识。军民融合国防教育基地的建设，能够满足人才培养的多元化需求，培养出既具备专业技能又具备国防意识的高素质人才</w:t>
      </w:r>
      <w:r>
        <w:rPr>
          <w:rFonts w:hint="eastAsia" w:ascii="仿宋" w:hAnsi="仿宋" w:eastAsia="仿宋"/>
          <w:bCs/>
          <w:sz w:val="28"/>
          <w:szCs w:val="28"/>
        </w:rPr>
        <w:t>；开展国防教育文明实践</w:t>
      </w:r>
      <w:r>
        <w:rPr>
          <w:rFonts w:ascii="仿宋" w:hAnsi="仿宋" w:eastAsia="仿宋"/>
          <w:bCs/>
          <w:sz w:val="28"/>
          <w:szCs w:val="28"/>
        </w:rPr>
        <w:t>能够推动</w:t>
      </w:r>
      <w:r>
        <w:rPr>
          <w:rFonts w:hint="eastAsia" w:ascii="仿宋" w:hAnsi="仿宋" w:eastAsia="仿宋"/>
          <w:bCs/>
          <w:sz w:val="28"/>
          <w:szCs w:val="28"/>
        </w:rPr>
        <w:t>我校</w:t>
      </w:r>
      <w:r>
        <w:rPr>
          <w:rFonts w:ascii="仿宋" w:hAnsi="仿宋" w:eastAsia="仿宋"/>
          <w:bCs/>
          <w:sz w:val="28"/>
          <w:szCs w:val="28"/>
        </w:rPr>
        <w:t>国防</w:t>
      </w:r>
      <w:r>
        <w:rPr>
          <w:rFonts w:hint="eastAsia" w:ascii="仿宋" w:hAnsi="仿宋" w:eastAsia="仿宋"/>
          <w:bCs/>
          <w:sz w:val="28"/>
          <w:szCs w:val="28"/>
        </w:rPr>
        <w:t>教育</w:t>
      </w:r>
      <w:r>
        <w:rPr>
          <w:rFonts w:ascii="仿宋" w:hAnsi="仿宋" w:eastAsia="仿宋"/>
          <w:bCs/>
          <w:sz w:val="28"/>
          <w:szCs w:val="28"/>
        </w:rPr>
        <w:t>的创新与发展。</w:t>
      </w:r>
    </w:p>
    <w:p>
      <w:pPr>
        <w:spacing w:line="540" w:lineRule="exact"/>
        <w:ind w:firstLine="560" w:firstLineChars="200"/>
        <w:rPr>
          <w:rFonts w:ascii="仿宋" w:hAnsi="仿宋" w:eastAsia="仿宋"/>
          <w:bCs/>
          <w:sz w:val="28"/>
          <w:szCs w:val="28"/>
        </w:rPr>
      </w:pPr>
      <w:r>
        <w:rPr>
          <w:rFonts w:ascii="仿宋" w:hAnsi="仿宋" w:eastAsia="仿宋"/>
          <w:bCs/>
          <w:sz w:val="28"/>
          <w:szCs w:val="28"/>
        </w:rPr>
        <w:t>近年来，国家</w:t>
      </w:r>
      <w:r>
        <w:rPr>
          <w:rFonts w:hint="eastAsia" w:ascii="仿宋" w:hAnsi="仿宋" w:eastAsia="仿宋"/>
          <w:bCs/>
          <w:sz w:val="28"/>
          <w:szCs w:val="28"/>
        </w:rPr>
        <w:t>各个</w:t>
      </w:r>
      <w:r>
        <w:rPr>
          <w:rFonts w:ascii="仿宋" w:hAnsi="仿宋" w:eastAsia="仿宋"/>
          <w:bCs/>
          <w:sz w:val="28"/>
          <w:szCs w:val="28"/>
        </w:rPr>
        <w:t>层面对</w:t>
      </w:r>
      <w:r>
        <w:rPr>
          <w:rFonts w:hint="eastAsia" w:ascii="仿宋" w:hAnsi="仿宋" w:eastAsia="仿宋"/>
          <w:bCs/>
          <w:sz w:val="28"/>
          <w:szCs w:val="28"/>
        </w:rPr>
        <w:t>国防教育均</w:t>
      </w:r>
      <w:r>
        <w:rPr>
          <w:rFonts w:ascii="仿宋" w:hAnsi="仿宋" w:eastAsia="仿宋"/>
          <w:bCs/>
          <w:sz w:val="28"/>
          <w:szCs w:val="28"/>
        </w:rPr>
        <w:t>给予了高度重视，出台了一系列相关政策文件</w:t>
      </w:r>
      <w:r>
        <w:rPr>
          <w:rFonts w:hint="eastAsia" w:ascii="仿宋" w:hAnsi="仿宋" w:eastAsia="仿宋"/>
          <w:bCs/>
          <w:sz w:val="28"/>
          <w:szCs w:val="28"/>
        </w:rPr>
        <w:t>。中共中央 国务院 中央军委2</w:t>
      </w:r>
      <w:r>
        <w:rPr>
          <w:rFonts w:ascii="仿宋" w:hAnsi="仿宋" w:eastAsia="仿宋"/>
          <w:bCs/>
          <w:sz w:val="28"/>
          <w:szCs w:val="28"/>
        </w:rPr>
        <w:t>022</w:t>
      </w:r>
      <w:r>
        <w:rPr>
          <w:rFonts w:hint="eastAsia" w:ascii="仿宋" w:hAnsi="仿宋" w:eastAsia="仿宋"/>
          <w:bCs/>
          <w:sz w:val="28"/>
          <w:szCs w:val="28"/>
        </w:rPr>
        <w:t>年印发《关于加强和改进新时代全民国防教育工作的意见》，为高校开展国防教育文明实践军提供了强有力的政策支持。</w:t>
      </w:r>
    </w:p>
    <w:p>
      <w:pPr>
        <w:spacing w:line="540" w:lineRule="exact"/>
        <w:ind w:firstLine="560" w:firstLineChars="200"/>
        <w:rPr>
          <w:rFonts w:ascii="仿宋" w:hAnsi="仿宋" w:eastAsia="仿宋"/>
          <w:bCs/>
          <w:sz w:val="28"/>
          <w:szCs w:val="28"/>
        </w:rPr>
      </w:pPr>
      <w:r>
        <w:rPr>
          <w:rFonts w:hint="eastAsia" w:ascii="仿宋" w:hAnsi="仿宋" w:eastAsia="仿宋"/>
          <w:bCs/>
          <w:sz w:val="28"/>
          <w:szCs w:val="28"/>
        </w:rPr>
        <w:t>我</w:t>
      </w:r>
      <w:r>
        <w:rPr>
          <w:rFonts w:ascii="仿宋" w:hAnsi="仿宋" w:eastAsia="仿宋"/>
          <w:bCs/>
          <w:sz w:val="28"/>
          <w:szCs w:val="28"/>
        </w:rPr>
        <w:t>校拥有丰富的教育资源，军队则拥有</w:t>
      </w:r>
      <w:r>
        <w:rPr>
          <w:rFonts w:hint="eastAsia" w:ascii="仿宋" w:hAnsi="仿宋" w:eastAsia="仿宋"/>
          <w:bCs/>
          <w:sz w:val="28"/>
          <w:szCs w:val="28"/>
        </w:rPr>
        <w:t>可供高校学生实地参观和亲身体验</w:t>
      </w:r>
      <w:r>
        <w:rPr>
          <w:rFonts w:ascii="仿宋" w:hAnsi="仿宋" w:eastAsia="仿宋"/>
          <w:bCs/>
          <w:sz w:val="28"/>
          <w:szCs w:val="28"/>
        </w:rPr>
        <w:t>的</w:t>
      </w:r>
      <w:r>
        <w:rPr>
          <w:rFonts w:hint="eastAsia" w:ascii="仿宋" w:hAnsi="仿宋" w:eastAsia="仿宋"/>
          <w:bCs/>
          <w:sz w:val="28"/>
          <w:szCs w:val="28"/>
        </w:rPr>
        <w:t>国防教育资源</w:t>
      </w:r>
      <w:r>
        <w:rPr>
          <w:rFonts w:ascii="仿宋" w:hAnsi="仿宋" w:eastAsia="仿宋"/>
          <w:bCs/>
          <w:sz w:val="28"/>
          <w:szCs w:val="28"/>
        </w:rPr>
        <w:t>。二者之间的资源共享，能够形成优势互补，为国防教育基地的建设提供坚实的基础。</w:t>
      </w:r>
      <w:r>
        <w:rPr>
          <w:rFonts w:hint="eastAsia" w:ascii="仿宋" w:hAnsi="仿宋" w:eastAsia="仿宋"/>
          <w:bCs/>
          <w:sz w:val="28"/>
          <w:szCs w:val="28"/>
        </w:rPr>
        <w:t>我</w:t>
      </w:r>
      <w:r>
        <w:rPr>
          <w:rFonts w:ascii="仿宋" w:hAnsi="仿宋" w:eastAsia="仿宋"/>
          <w:bCs/>
          <w:sz w:val="28"/>
          <w:szCs w:val="28"/>
        </w:rPr>
        <w:t>校作为</w:t>
      </w:r>
      <w:r>
        <w:rPr>
          <w:rFonts w:hint="eastAsia" w:ascii="仿宋" w:hAnsi="仿宋" w:eastAsia="仿宋"/>
          <w:bCs/>
          <w:sz w:val="28"/>
          <w:szCs w:val="28"/>
        </w:rPr>
        <w:t>高素质高技能</w:t>
      </w:r>
      <w:r>
        <w:rPr>
          <w:rFonts w:ascii="仿宋" w:hAnsi="仿宋" w:eastAsia="仿宋"/>
          <w:bCs/>
          <w:sz w:val="28"/>
          <w:szCs w:val="28"/>
        </w:rPr>
        <w:t>人才培养的摇篮，有着完善的教学体系与师资力量</w:t>
      </w:r>
      <w:r>
        <w:rPr>
          <w:rFonts w:hint="eastAsia" w:ascii="仿宋" w:hAnsi="仿宋" w:eastAsia="仿宋"/>
          <w:bCs/>
          <w:sz w:val="28"/>
          <w:szCs w:val="28"/>
        </w:rPr>
        <w:t>，自2</w:t>
      </w:r>
      <w:r>
        <w:rPr>
          <w:rFonts w:ascii="仿宋" w:hAnsi="仿宋" w:eastAsia="仿宋"/>
          <w:bCs/>
          <w:sz w:val="28"/>
          <w:szCs w:val="28"/>
        </w:rPr>
        <w:t>018</w:t>
      </w:r>
      <w:r>
        <w:rPr>
          <w:rFonts w:hint="eastAsia" w:ascii="仿宋" w:hAnsi="仿宋" w:eastAsia="仿宋"/>
          <w:bCs/>
          <w:sz w:val="28"/>
          <w:szCs w:val="28"/>
        </w:rPr>
        <w:t>年开始</w:t>
      </w:r>
      <w:r>
        <w:rPr>
          <w:rFonts w:ascii="仿宋" w:hAnsi="仿宋" w:eastAsia="仿宋"/>
          <w:bCs/>
          <w:sz w:val="28"/>
          <w:szCs w:val="28"/>
        </w:rPr>
        <w:t>成功开展了</w:t>
      </w:r>
      <w:r>
        <w:rPr>
          <w:rFonts w:hint="eastAsia" w:ascii="仿宋" w:hAnsi="仿宋" w:eastAsia="仿宋"/>
          <w:bCs/>
          <w:sz w:val="28"/>
          <w:szCs w:val="28"/>
        </w:rPr>
        <w:t>多次</w:t>
      </w:r>
      <w:r>
        <w:rPr>
          <w:rFonts w:ascii="仿宋" w:hAnsi="仿宋" w:eastAsia="仿宋"/>
          <w:bCs/>
          <w:sz w:val="28"/>
          <w:szCs w:val="28"/>
        </w:rPr>
        <w:t>军民融合国防教育实践活动，积累了宝贵的经验</w:t>
      </w:r>
      <w:r>
        <w:rPr>
          <w:rFonts w:hint="eastAsia" w:ascii="仿宋" w:hAnsi="仿宋" w:eastAsia="仿宋"/>
          <w:bCs/>
          <w:sz w:val="28"/>
          <w:szCs w:val="28"/>
        </w:rPr>
        <w:t>，我校的李欣璐博士、许震宇博士、肖建峰博士都有在部队服役的经历，</w:t>
      </w:r>
      <w:r>
        <w:rPr>
          <w:rFonts w:ascii="仿宋" w:hAnsi="仿宋" w:eastAsia="仿宋"/>
          <w:bCs/>
          <w:sz w:val="28"/>
          <w:szCs w:val="28"/>
        </w:rPr>
        <w:t>这些实践经验</w:t>
      </w:r>
      <w:r>
        <w:rPr>
          <w:rFonts w:hint="eastAsia" w:ascii="仿宋" w:hAnsi="仿宋" w:eastAsia="仿宋"/>
          <w:bCs/>
          <w:sz w:val="28"/>
          <w:szCs w:val="28"/>
        </w:rPr>
        <w:t>有利于本项目后续</w:t>
      </w:r>
      <w:r>
        <w:rPr>
          <w:rFonts w:ascii="仿宋" w:hAnsi="仿宋" w:eastAsia="仿宋"/>
          <w:bCs/>
          <w:sz w:val="28"/>
          <w:szCs w:val="28"/>
        </w:rPr>
        <w:t>的顺利进行。</w:t>
      </w:r>
    </w:p>
    <w:p>
      <w:pPr>
        <w:spacing w:line="540" w:lineRule="exact"/>
        <w:ind w:firstLine="560" w:firstLineChars="200"/>
        <w:rPr>
          <w:rFonts w:ascii="仿宋" w:hAnsi="仿宋" w:eastAsia="仿宋"/>
          <w:bCs/>
          <w:sz w:val="28"/>
          <w:szCs w:val="28"/>
        </w:rPr>
      </w:pPr>
      <w:r>
        <w:rPr>
          <w:rFonts w:hint="eastAsia" w:ascii="仿宋" w:hAnsi="仿宋" w:eastAsia="仿宋"/>
          <w:bCs/>
          <w:sz w:val="28"/>
          <w:szCs w:val="28"/>
        </w:rPr>
        <w:t>弘扬爱国主义精神，开展国防教育文明实践不仅具有可行性，而且十分必要。</w:t>
      </w:r>
    </w:p>
    <w:p>
      <w:pPr>
        <w:spacing w:line="54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w:t>
      </w:r>
      <w:r>
        <w:rPr>
          <w:rFonts w:hint="eastAsia" w:ascii="Times New Roman" w:hAnsi="Times New Roman" w:eastAsia="仿宋" w:cs="Times New Roman"/>
          <w:b/>
          <w:bCs/>
          <w:sz w:val="28"/>
          <w:szCs w:val="28"/>
        </w:rPr>
        <w:t>2</w:t>
      </w:r>
      <w:r>
        <w:rPr>
          <w:rFonts w:hint="eastAsia" w:ascii="仿宋" w:hAnsi="仿宋" w:eastAsia="仿宋" w:cs="仿宋"/>
          <w:b/>
          <w:bCs/>
          <w:sz w:val="28"/>
          <w:szCs w:val="28"/>
        </w:rPr>
        <w:t>）拟解决的关键问题</w:t>
      </w:r>
    </w:p>
    <w:p>
      <w:pPr>
        <w:spacing w:line="540" w:lineRule="exact"/>
        <w:ind w:firstLine="560" w:firstLineChars="200"/>
        <w:rPr>
          <w:rFonts w:ascii="仿宋" w:hAnsi="仿宋" w:eastAsia="仿宋"/>
          <w:bCs/>
          <w:sz w:val="28"/>
          <w:szCs w:val="28"/>
        </w:rPr>
      </w:pPr>
      <w:r>
        <w:rPr>
          <w:rFonts w:hint="eastAsia" w:ascii="仿宋" w:hAnsi="仿宋" w:eastAsia="仿宋"/>
          <w:bCs/>
          <w:sz w:val="28"/>
          <w:szCs w:val="28"/>
        </w:rPr>
        <w:t>与学校思政教育工作融合，与学院的退役士兵培训相融合，与学院征兵工作相融合，传承红色革命精神的内在</w:t>
      </w:r>
      <w:r>
        <w:rPr>
          <w:rFonts w:hint="eastAsia" w:ascii="仿宋" w:hAnsi="仿宋" w:eastAsia="仿宋"/>
          <w:bCs/>
          <w:sz w:val="28"/>
          <w:szCs w:val="28"/>
          <w:lang w:eastAsia="zh-CN"/>
        </w:rPr>
        <w:t>价值</w:t>
      </w:r>
      <w:r>
        <w:rPr>
          <w:rFonts w:hint="eastAsia" w:ascii="仿宋" w:hAnsi="仿宋" w:eastAsia="仿宋"/>
          <w:bCs/>
          <w:sz w:val="28"/>
          <w:szCs w:val="28"/>
        </w:rPr>
        <w:t>，加强学生爱国主义和国防知识教育，发挥好培养职业素养的积极作用。以培育爱国主义和团队精神为核心，加强国防知识、革命传统教育，充分发挥红色资源、国防资源的育人功能，发挥英雄模范人物等的示范引领作用。</w:t>
      </w:r>
    </w:p>
    <w:p>
      <w:pPr>
        <w:spacing w:line="54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w:t>
      </w:r>
      <w:r>
        <w:rPr>
          <w:rFonts w:ascii="Times New Roman" w:hAnsi="Times New Roman" w:eastAsia="仿宋" w:cs="Times New Roman"/>
          <w:b/>
          <w:bCs/>
          <w:sz w:val="28"/>
          <w:szCs w:val="28"/>
        </w:rPr>
        <w:t>3</w:t>
      </w:r>
      <w:r>
        <w:rPr>
          <w:rFonts w:hint="eastAsia" w:ascii="仿宋" w:hAnsi="仿宋" w:eastAsia="仿宋" w:cs="仿宋"/>
          <w:b/>
          <w:bCs/>
          <w:sz w:val="28"/>
          <w:szCs w:val="28"/>
        </w:rPr>
        <w:t>）建设任务</w:t>
      </w:r>
    </w:p>
    <w:p>
      <w:pPr>
        <w:spacing w:line="540" w:lineRule="exact"/>
        <w:ind w:firstLine="560" w:firstLineChars="200"/>
        <w:rPr>
          <w:rFonts w:ascii="仿宋" w:hAnsi="仿宋" w:eastAsia="仿宋"/>
          <w:bCs/>
          <w:sz w:val="28"/>
          <w:szCs w:val="28"/>
        </w:rPr>
      </w:pPr>
      <w:r>
        <w:rPr>
          <w:rFonts w:hint="eastAsia" w:ascii="仿宋" w:hAnsi="仿宋" w:eastAsia="仿宋"/>
          <w:bCs/>
          <w:sz w:val="28"/>
          <w:szCs w:val="28"/>
        </w:rPr>
        <w:t>建立学校国防教育培育机制：打造国防教育教学团队，组建国防教学科研团队，申报国家级省级课题。</w:t>
      </w:r>
    </w:p>
    <w:p>
      <w:pPr>
        <w:spacing w:line="540" w:lineRule="exact"/>
        <w:ind w:firstLine="560" w:firstLineChars="200"/>
        <w:rPr>
          <w:rFonts w:ascii="仿宋" w:hAnsi="仿宋" w:eastAsia="仿宋"/>
          <w:bCs/>
          <w:sz w:val="28"/>
          <w:szCs w:val="28"/>
        </w:rPr>
      </w:pPr>
      <w:r>
        <w:rPr>
          <w:rFonts w:hint="eastAsia" w:ascii="仿宋" w:hAnsi="仿宋" w:eastAsia="仿宋"/>
          <w:bCs/>
          <w:sz w:val="28"/>
          <w:szCs w:val="28"/>
        </w:rPr>
        <w:t>和驻地部队签署共建共育协议，每年组织1000人次“走进军营”见习见学，军地联办的“大中小学生军事夏令营”，开展名师名家到部队讲座以及模范军人进校园宣讲等活动；</w:t>
      </w:r>
    </w:p>
    <w:p>
      <w:pPr>
        <w:spacing w:line="540" w:lineRule="exact"/>
        <w:ind w:firstLine="560" w:firstLineChars="200"/>
        <w:rPr>
          <w:rFonts w:ascii="仿宋" w:hAnsi="仿宋" w:eastAsia="仿宋"/>
          <w:bCs/>
          <w:sz w:val="28"/>
          <w:szCs w:val="28"/>
        </w:rPr>
      </w:pPr>
      <w:r>
        <w:rPr>
          <w:rFonts w:hint="eastAsia" w:ascii="仿宋" w:hAnsi="仿宋" w:eastAsia="仿宋"/>
          <w:bCs/>
          <w:sz w:val="28"/>
          <w:szCs w:val="28"/>
        </w:rPr>
        <w:t>圆满完成每年的征兵任务，对接惠州市退役军人事务局高质量完成自主就业退役士兵适应性培训。</w:t>
      </w:r>
    </w:p>
    <w:p>
      <w:pPr>
        <w:spacing w:line="540" w:lineRule="exact"/>
        <w:ind w:firstLine="280" w:firstLineChars="100"/>
        <w:rPr>
          <w:rFonts w:ascii="仿宋" w:hAnsi="仿宋" w:eastAsia="仿宋"/>
          <w:bCs/>
          <w:sz w:val="28"/>
          <w:szCs w:val="28"/>
        </w:rPr>
      </w:pPr>
      <w:r>
        <w:rPr>
          <w:rFonts w:hint="eastAsia" w:ascii="仿宋" w:hAnsi="仿宋" w:eastAsia="仿宋"/>
          <w:bCs/>
          <w:sz w:val="28"/>
          <w:szCs w:val="28"/>
        </w:rPr>
        <w:t xml:space="preserve"> 注重创新，不断探索新的国防教育模式和方法，以满足学生的需求。继续深入开展“爱国旗”“护国旗”“学国旗法”实践教育活动，开展岭东红色文化传承工程，开展爱国主义和革命传统教育。</w:t>
      </w:r>
    </w:p>
    <w:p>
      <w:pPr>
        <w:spacing w:line="54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（4）重点建设任务</w:t>
      </w:r>
    </w:p>
    <w:p>
      <w:pPr>
        <w:spacing w:line="540" w:lineRule="exact"/>
        <w:ind w:firstLine="562" w:firstLineChars="200"/>
        <w:rPr>
          <w:rFonts w:ascii="仿宋" w:hAnsi="仿宋" w:eastAsia="仿宋"/>
          <w:b/>
          <w:sz w:val="28"/>
          <w:szCs w:val="28"/>
        </w:rPr>
      </w:pPr>
      <w:r>
        <w:rPr>
          <w:rFonts w:hint="eastAsia" w:ascii="仿宋" w:hAnsi="仿宋" w:eastAsia="仿宋"/>
          <w:b/>
          <w:sz w:val="28"/>
          <w:szCs w:val="28"/>
        </w:rPr>
        <w:t>① 建设国防教育基地培育机制</w:t>
      </w:r>
    </w:p>
    <w:p>
      <w:pPr>
        <w:spacing w:line="540" w:lineRule="exact"/>
        <w:ind w:firstLine="560" w:firstLineChars="200"/>
        <w:rPr>
          <w:rFonts w:ascii="仿宋" w:hAnsi="仿宋" w:eastAsia="仿宋"/>
          <w:bCs/>
          <w:sz w:val="28"/>
          <w:szCs w:val="28"/>
        </w:rPr>
      </w:pPr>
      <w:r>
        <w:rPr>
          <w:rFonts w:hint="eastAsia" w:ascii="仿宋" w:hAnsi="仿宋" w:eastAsia="仿宋"/>
          <w:bCs/>
          <w:sz w:val="28"/>
          <w:szCs w:val="28"/>
        </w:rPr>
        <w:t>学校将国防教育内容纳入学校思政教育工作体系，每年一次党政联席会议议题。</w:t>
      </w:r>
    </w:p>
    <w:p>
      <w:pPr>
        <w:spacing w:line="540" w:lineRule="exact"/>
        <w:ind w:firstLine="560" w:firstLineChars="200"/>
        <w:rPr>
          <w:rFonts w:ascii="仿宋" w:hAnsi="仿宋" w:eastAsia="仿宋"/>
          <w:bCs/>
          <w:sz w:val="28"/>
          <w:szCs w:val="28"/>
        </w:rPr>
      </w:pPr>
      <w:r>
        <w:rPr>
          <w:rFonts w:hint="eastAsia" w:ascii="仿宋" w:hAnsi="仿宋" w:eastAsia="仿宋"/>
          <w:bCs/>
          <w:sz w:val="28"/>
          <w:szCs w:val="28"/>
        </w:rPr>
        <w:t>学校扎实贯彻落实中共中央、国务院、中央军委印发《关于加强和改进新时代全民国防教育工作的意见》（以下简称《意见》），把全民国防教育作为党的宣传思想工作的重要组成部分，作为弘扬爱国主义精神、增强全民国防意识的有效途径。加强对国防法、国防教育法、国防动员法、兵役法、军人权益保护法、军事设施保护法、英雄烈士保护法等已有法律文件的宣传普及。</w:t>
      </w:r>
    </w:p>
    <w:p>
      <w:pPr>
        <w:spacing w:line="540" w:lineRule="exact"/>
        <w:ind w:firstLine="560" w:firstLineChars="200"/>
        <w:rPr>
          <w:rFonts w:ascii="仿宋" w:hAnsi="仿宋" w:eastAsia="仿宋"/>
          <w:bCs/>
          <w:sz w:val="28"/>
          <w:szCs w:val="28"/>
        </w:rPr>
      </w:pPr>
      <w:r>
        <w:rPr>
          <w:rFonts w:hint="eastAsia" w:ascii="仿宋" w:hAnsi="仿宋" w:eastAsia="仿宋"/>
          <w:bCs/>
          <w:sz w:val="28"/>
          <w:szCs w:val="28"/>
        </w:rPr>
        <w:t>学院申报为省级、国家级国防教育基地；</w:t>
      </w:r>
    </w:p>
    <w:p>
      <w:pPr>
        <w:spacing w:line="540" w:lineRule="exact"/>
        <w:ind w:firstLine="560" w:firstLineChars="200"/>
        <w:rPr>
          <w:rFonts w:ascii="仿宋" w:hAnsi="仿宋" w:eastAsia="仿宋"/>
          <w:bCs/>
          <w:sz w:val="28"/>
          <w:szCs w:val="28"/>
        </w:rPr>
      </w:pPr>
      <w:r>
        <w:rPr>
          <w:rFonts w:hint="eastAsia" w:ascii="仿宋" w:hAnsi="仿宋" w:eastAsia="仿宋"/>
          <w:bCs/>
          <w:sz w:val="28"/>
          <w:szCs w:val="28"/>
        </w:rPr>
        <w:t>继续打造国防教学团队，申报省级国防教学科研专项小组；营造培育“家国情怀”的校园环境，建设国防知识长廊。</w:t>
      </w:r>
    </w:p>
    <w:p>
      <w:pPr>
        <w:spacing w:line="540" w:lineRule="exact"/>
        <w:ind w:firstLine="560" w:firstLineChars="200"/>
        <w:rPr>
          <w:rFonts w:ascii="仿宋" w:hAnsi="仿宋" w:eastAsia="仿宋"/>
          <w:bCs/>
          <w:sz w:val="28"/>
          <w:szCs w:val="28"/>
        </w:rPr>
      </w:pPr>
      <w:r>
        <w:rPr>
          <w:rFonts w:hint="eastAsia" w:ascii="仿宋" w:hAnsi="仿宋" w:eastAsia="仿宋"/>
          <w:bCs/>
          <w:sz w:val="28"/>
          <w:szCs w:val="28"/>
        </w:rPr>
        <w:t>圆满完成每年的征兵任务，对接惠州市退役军人事务局高质量完成自主就业退役士兵适应性培训。</w:t>
      </w:r>
    </w:p>
    <w:p>
      <w:pPr>
        <w:spacing w:line="540" w:lineRule="exact"/>
        <w:ind w:firstLine="562" w:firstLineChars="200"/>
        <w:rPr>
          <w:rFonts w:ascii="仿宋" w:hAnsi="仿宋" w:eastAsia="仿宋"/>
          <w:b/>
          <w:sz w:val="28"/>
          <w:szCs w:val="28"/>
        </w:rPr>
      </w:pPr>
      <w:r>
        <w:rPr>
          <w:rFonts w:hint="eastAsia" w:ascii="仿宋" w:hAnsi="仿宋" w:eastAsia="仿宋"/>
          <w:b/>
          <w:sz w:val="28"/>
          <w:szCs w:val="28"/>
        </w:rPr>
        <w:t>② 开展和驻地部队共建共育工程</w:t>
      </w:r>
    </w:p>
    <w:p>
      <w:pPr>
        <w:spacing w:line="540" w:lineRule="exact"/>
        <w:ind w:firstLine="560" w:firstLineChars="200"/>
        <w:rPr>
          <w:rFonts w:ascii="仿宋" w:hAnsi="仿宋" w:eastAsia="仿宋"/>
          <w:bCs/>
          <w:sz w:val="28"/>
          <w:szCs w:val="28"/>
        </w:rPr>
      </w:pPr>
      <w:r>
        <w:rPr>
          <w:rFonts w:hint="eastAsia" w:ascii="仿宋" w:hAnsi="仿宋" w:eastAsia="仿宋"/>
          <w:bCs/>
          <w:sz w:val="28"/>
          <w:szCs w:val="28"/>
        </w:rPr>
        <w:t>积极参加拥政爱民活动，和驻地部队签署共建共育协议，每年组织1000人次“走进军营”见习见学，军地联办的“大中小学生军事夏（冬）令营”， 开展名师名家到部队讲座以及模范军人进国防教育宣讲等活动。</w:t>
      </w:r>
    </w:p>
    <w:p>
      <w:pPr>
        <w:spacing w:line="540" w:lineRule="exact"/>
        <w:ind w:firstLine="562" w:firstLineChars="200"/>
        <w:rPr>
          <w:rFonts w:ascii="仿宋" w:hAnsi="仿宋" w:eastAsia="仿宋"/>
          <w:b/>
          <w:sz w:val="28"/>
          <w:szCs w:val="28"/>
        </w:rPr>
      </w:pPr>
      <w:r>
        <w:rPr>
          <w:rFonts w:hint="eastAsia" w:ascii="仿宋" w:hAnsi="仿宋" w:eastAsia="仿宋"/>
          <w:b/>
          <w:sz w:val="28"/>
          <w:szCs w:val="28"/>
        </w:rPr>
        <w:t>③ 开展国防教育活动项目</w:t>
      </w:r>
    </w:p>
    <w:p>
      <w:pPr>
        <w:spacing w:line="540" w:lineRule="exact"/>
        <w:ind w:firstLine="560" w:firstLineChars="200"/>
        <w:rPr>
          <w:rFonts w:ascii="仿宋" w:hAnsi="仿宋" w:eastAsia="仿宋"/>
          <w:bCs/>
          <w:sz w:val="28"/>
          <w:szCs w:val="28"/>
        </w:rPr>
      </w:pPr>
      <w:r>
        <w:rPr>
          <w:rFonts w:hint="eastAsia" w:ascii="仿宋" w:hAnsi="仿宋" w:eastAsia="仿宋"/>
          <w:bCs/>
          <w:sz w:val="28"/>
          <w:szCs w:val="28"/>
        </w:rPr>
        <w:t>继续加强学校“国旗护卫队”建设，利用校园网、校报校刊、黑板报等阵地和国旗下讲话、主题班会等途径，在学校营造“爱国旗、护国旗、学国旗法”的浓厚氛围；</w:t>
      </w:r>
    </w:p>
    <w:p>
      <w:pPr>
        <w:spacing w:line="540" w:lineRule="exact"/>
        <w:ind w:firstLine="560" w:firstLineChars="200"/>
        <w:rPr>
          <w:rFonts w:ascii="仿宋" w:hAnsi="仿宋" w:eastAsia="仿宋"/>
          <w:bCs/>
          <w:sz w:val="28"/>
          <w:szCs w:val="28"/>
        </w:rPr>
      </w:pPr>
      <w:r>
        <w:rPr>
          <w:rFonts w:hint="eastAsia" w:ascii="仿宋" w:hAnsi="仿宋" w:eastAsia="仿宋"/>
          <w:bCs/>
          <w:sz w:val="28"/>
          <w:szCs w:val="28"/>
        </w:rPr>
        <w:t>策划一批国防教育类选题列入社科规划选题，申报省级课题，在学校各种文化节中展示国防教育成果节目；</w:t>
      </w:r>
    </w:p>
    <w:p>
      <w:pPr>
        <w:spacing w:line="540" w:lineRule="exact"/>
        <w:ind w:firstLine="560" w:firstLineChars="200"/>
        <w:rPr>
          <w:rFonts w:ascii="仿宋" w:hAnsi="仿宋" w:eastAsia="仿宋"/>
          <w:bCs/>
          <w:sz w:val="28"/>
          <w:szCs w:val="28"/>
        </w:rPr>
      </w:pPr>
      <w:r>
        <w:rPr>
          <w:rFonts w:hint="eastAsia" w:ascii="仿宋" w:hAnsi="仿宋" w:eastAsia="仿宋"/>
          <w:bCs/>
          <w:sz w:val="28"/>
          <w:szCs w:val="28"/>
        </w:rPr>
        <w:t>在全民国防教育日、烈士纪念日、国家公祭日等时间举行一系列纪念活动，组建由我校军事课教学团队和大学生组成的国防教育师资库、讲师团，扎实推动国防教育进企业、进乡村、进中小学、进网络，不断增强全民国防意识，不断扩大我校国防教育基地的辐射作用；</w:t>
      </w:r>
    </w:p>
    <w:p>
      <w:pPr>
        <w:spacing w:line="540" w:lineRule="exact"/>
        <w:ind w:firstLine="560" w:firstLineChars="200"/>
        <w:rPr>
          <w:rFonts w:ascii="仿宋" w:hAnsi="仿宋" w:eastAsia="仿宋"/>
          <w:bCs/>
          <w:sz w:val="28"/>
          <w:szCs w:val="28"/>
        </w:rPr>
      </w:pPr>
      <w:r>
        <w:rPr>
          <w:rFonts w:hint="eastAsia" w:ascii="仿宋" w:hAnsi="仿宋" w:eastAsia="仿宋"/>
          <w:bCs/>
          <w:sz w:val="28"/>
          <w:szCs w:val="28"/>
        </w:rPr>
        <w:t>丰富国防教育形式，提升国防教育层次，在东坡大讲堂开展国防教育讲座等活动。探索改进新时代国防教育的方式方法。在《军事理论课》教学中加入参观革命史迹、主题场馆等实践教学，同时开展国防教育知识竞赛、文艺演出等活动，探索运用人工智能等现代高科技手段，增强国防教育的吸引力、感召力。</w:t>
      </w:r>
    </w:p>
    <w:p>
      <w:pPr>
        <w:spacing w:line="540" w:lineRule="exact"/>
        <w:ind w:firstLine="560" w:firstLineChars="200"/>
        <w:rPr>
          <w:rFonts w:ascii="仿宋" w:hAnsi="仿宋" w:eastAsia="仿宋"/>
          <w:bCs/>
          <w:sz w:val="28"/>
          <w:szCs w:val="28"/>
        </w:rPr>
      </w:pPr>
      <w:r>
        <w:rPr>
          <w:rFonts w:hint="eastAsia" w:ascii="仿宋" w:hAnsi="仿宋" w:eastAsia="仿宋"/>
          <w:bCs/>
          <w:sz w:val="28"/>
          <w:szCs w:val="28"/>
        </w:rPr>
        <w:t>建立完善的评估机制，对国防教育效果进行科学评估，并根据评估结果不断改进和完善国防教育计划。</w:t>
      </w:r>
    </w:p>
    <w:p>
      <w:pPr>
        <w:ind w:firstLine="562" w:firstLineChars="200"/>
        <w:rPr>
          <w:rFonts w:ascii="仿宋" w:hAnsi="仿宋" w:eastAsia="仿宋"/>
          <w:b/>
          <w:bCs/>
          <w:sz w:val="28"/>
          <w:szCs w:val="28"/>
        </w:rPr>
      </w:pPr>
      <w:r>
        <w:rPr>
          <w:rFonts w:hint="eastAsia" w:ascii="仿宋" w:hAnsi="仿宋" w:eastAsia="仿宋"/>
          <w:b/>
          <w:bCs/>
          <w:sz w:val="28"/>
          <w:szCs w:val="28"/>
        </w:rPr>
        <w:t>（8）建设计划</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6"/>
        <w:gridCol w:w="2376"/>
        <w:gridCol w:w="3140"/>
        <w:gridCol w:w="1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6" w:type="dxa"/>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lang w:eastAsia="en-US"/>
              </w:rPr>
            </w:pPr>
            <w:r>
              <w:rPr>
                <w:rFonts w:hint="eastAsia" w:ascii="仿宋" w:hAnsi="仿宋" w:eastAsia="仿宋" w:cs="仿宋"/>
                <w:b/>
                <w:bCs/>
                <w:color w:val="000000"/>
                <w:kern w:val="0"/>
                <w:szCs w:val="21"/>
                <w:lang w:eastAsia="en-US"/>
              </w:rPr>
              <w:t>年度</w:t>
            </w:r>
          </w:p>
        </w:tc>
        <w:tc>
          <w:tcPr>
            <w:tcW w:w="2376" w:type="dxa"/>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lang w:eastAsia="en-US"/>
              </w:rPr>
            </w:pPr>
            <w:r>
              <w:rPr>
                <w:rFonts w:hint="eastAsia" w:ascii="仿宋" w:hAnsi="仿宋" w:eastAsia="仿宋" w:cs="仿宋"/>
                <w:b/>
                <w:bCs/>
                <w:color w:val="000000"/>
                <w:kern w:val="0"/>
                <w:szCs w:val="21"/>
                <w:lang w:eastAsia="en-US"/>
              </w:rPr>
              <w:t>建设任务</w:t>
            </w:r>
          </w:p>
        </w:tc>
        <w:tc>
          <w:tcPr>
            <w:tcW w:w="3140" w:type="dxa"/>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lang w:eastAsia="en-US"/>
              </w:rPr>
            </w:pPr>
            <w:r>
              <w:rPr>
                <w:rFonts w:hint="eastAsia" w:ascii="仿宋" w:hAnsi="仿宋" w:eastAsia="仿宋" w:cs="仿宋"/>
                <w:b/>
                <w:bCs/>
                <w:color w:val="000000"/>
                <w:kern w:val="0"/>
                <w:szCs w:val="21"/>
                <w:lang w:eastAsia="en-US"/>
              </w:rPr>
              <w:t>建设内容</w:t>
            </w:r>
          </w:p>
        </w:tc>
        <w:tc>
          <w:tcPr>
            <w:tcW w:w="1554" w:type="dxa"/>
            <w:shd w:val="clear" w:color="auto" w:fill="4874CB" w:themeFill="accent1"/>
            <w:vAlign w:val="center"/>
          </w:tcPr>
          <w:p>
            <w:pPr>
              <w:widowControl/>
              <w:topLinePunct/>
              <w:spacing w:line="560" w:lineRule="exact"/>
              <w:jc w:val="center"/>
              <w:rPr>
                <w:rFonts w:ascii="仿宋" w:hAnsi="仿宋" w:eastAsia="仿宋" w:cs="仿宋"/>
                <w:b/>
                <w:bCs/>
                <w:color w:val="000000"/>
                <w:kern w:val="0"/>
                <w:szCs w:val="21"/>
                <w:lang w:eastAsia="en-US"/>
              </w:rPr>
            </w:pPr>
            <w:r>
              <w:rPr>
                <w:rFonts w:hint="eastAsia" w:ascii="仿宋" w:hAnsi="仿宋" w:eastAsia="仿宋" w:cs="仿宋"/>
                <w:b/>
                <w:bCs/>
                <w:color w:val="000000"/>
                <w:kern w:val="0"/>
                <w:szCs w:val="21"/>
                <w:lang w:eastAsia="en-US"/>
              </w:rPr>
              <w:t>负责部门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6" w:type="dxa"/>
            <w:vMerge w:val="restart"/>
            <w:vAlign w:val="center"/>
          </w:tcPr>
          <w:p>
            <w:pPr>
              <w:jc w:val="center"/>
              <w:rPr>
                <w:rFonts w:ascii="仿宋" w:hAnsi="仿宋" w:eastAsia="仿宋" w:cs="仿宋"/>
                <w:b/>
                <w:szCs w:val="21"/>
              </w:rPr>
            </w:pPr>
            <w:r>
              <w:rPr>
                <w:rFonts w:hint="eastAsia" w:ascii="仿宋" w:hAnsi="仿宋" w:eastAsia="仿宋" w:cs="仿宋"/>
                <w:b/>
                <w:szCs w:val="21"/>
              </w:rPr>
              <w:t>2023</w:t>
            </w:r>
          </w:p>
        </w:tc>
        <w:tc>
          <w:tcPr>
            <w:tcW w:w="2376" w:type="dxa"/>
            <w:vAlign w:val="center"/>
          </w:tcPr>
          <w:p>
            <w:pPr>
              <w:jc w:val="left"/>
              <w:rPr>
                <w:rFonts w:ascii="仿宋" w:hAnsi="仿宋" w:eastAsia="仿宋" w:cs="仿宋"/>
                <w:bCs/>
                <w:szCs w:val="21"/>
              </w:rPr>
            </w:pPr>
            <w:r>
              <w:rPr>
                <w:rFonts w:hint="eastAsia" w:ascii="仿宋" w:hAnsi="仿宋" w:eastAsia="仿宋" w:cs="仿宋"/>
                <w:bCs/>
                <w:szCs w:val="21"/>
              </w:rPr>
              <w:t>建设国防教育基地培育机制</w:t>
            </w:r>
          </w:p>
        </w:tc>
        <w:tc>
          <w:tcPr>
            <w:tcW w:w="3140" w:type="dxa"/>
            <w:vAlign w:val="center"/>
          </w:tcPr>
          <w:p>
            <w:pPr>
              <w:jc w:val="left"/>
              <w:rPr>
                <w:rFonts w:ascii="仿宋" w:hAnsi="仿宋" w:eastAsia="仿宋" w:cs="仿宋"/>
                <w:bCs/>
                <w:szCs w:val="21"/>
              </w:rPr>
            </w:pPr>
            <w:r>
              <w:rPr>
                <w:rFonts w:hint="eastAsia" w:ascii="仿宋" w:hAnsi="仿宋" w:eastAsia="仿宋" w:cs="仿宋"/>
                <w:bCs/>
                <w:szCs w:val="21"/>
              </w:rPr>
              <w:t>学校将国防教育内容纳入学校思政教育工作体系。</w:t>
            </w:r>
          </w:p>
        </w:tc>
        <w:tc>
          <w:tcPr>
            <w:tcW w:w="1554" w:type="dxa"/>
            <w:vAlign w:val="center"/>
          </w:tcPr>
          <w:p>
            <w:pPr>
              <w:jc w:val="left"/>
              <w:rPr>
                <w:rFonts w:ascii="仿宋" w:hAnsi="仿宋" w:eastAsia="仿宋" w:cs="仿宋"/>
                <w:bCs/>
                <w:szCs w:val="21"/>
              </w:rPr>
            </w:pPr>
            <w:r>
              <w:rPr>
                <w:rFonts w:hint="eastAsia" w:ascii="仿宋" w:hAnsi="仿宋" w:eastAsia="仿宋" w:cs="仿宋"/>
                <w:bCs/>
                <w:szCs w:val="21"/>
              </w:rPr>
              <w:t>党政办、人文学院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6" w:type="dxa"/>
            <w:vMerge w:val="continue"/>
            <w:vAlign w:val="center"/>
          </w:tcPr>
          <w:p>
            <w:pPr>
              <w:jc w:val="center"/>
              <w:rPr>
                <w:rFonts w:ascii="仿宋" w:hAnsi="仿宋" w:eastAsia="仿宋" w:cs="仿宋"/>
                <w:b/>
                <w:szCs w:val="21"/>
              </w:rPr>
            </w:pPr>
          </w:p>
        </w:tc>
        <w:tc>
          <w:tcPr>
            <w:tcW w:w="2376" w:type="dxa"/>
            <w:vAlign w:val="center"/>
          </w:tcPr>
          <w:p>
            <w:pPr>
              <w:jc w:val="left"/>
              <w:rPr>
                <w:rFonts w:ascii="仿宋" w:hAnsi="仿宋" w:eastAsia="仿宋" w:cs="仿宋"/>
                <w:bCs/>
                <w:szCs w:val="21"/>
              </w:rPr>
            </w:pPr>
            <w:r>
              <w:rPr>
                <w:rFonts w:hint="eastAsia" w:ascii="仿宋" w:hAnsi="仿宋" w:eastAsia="仿宋" w:cs="仿宋"/>
                <w:bCs/>
                <w:szCs w:val="21"/>
              </w:rPr>
              <w:t>开展国防教育活动项目</w:t>
            </w:r>
          </w:p>
        </w:tc>
        <w:tc>
          <w:tcPr>
            <w:tcW w:w="3140" w:type="dxa"/>
            <w:vAlign w:val="center"/>
          </w:tcPr>
          <w:p>
            <w:pPr>
              <w:jc w:val="left"/>
              <w:rPr>
                <w:rFonts w:ascii="仿宋" w:hAnsi="仿宋" w:eastAsia="仿宋" w:cs="仿宋"/>
                <w:bCs/>
                <w:szCs w:val="21"/>
              </w:rPr>
            </w:pPr>
            <w:r>
              <w:rPr>
                <w:rFonts w:hint="eastAsia" w:ascii="仿宋" w:hAnsi="仿宋" w:eastAsia="仿宋" w:cs="仿宋"/>
                <w:bCs/>
                <w:szCs w:val="21"/>
              </w:rPr>
              <w:t>加强学校“国旗护卫队”建设，利用校园网、校报校刊、黑板报等阵地和国旗下讲话、主题班会等途径，在学校营造“爱国旗、护国旗、学国旗法”的浓厚氛围</w:t>
            </w:r>
          </w:p>
        </w:tc>
        <w:tc>
          <w:tcPr>
            <w:tcW w:w="1554" w:type="dxa"/>
            <w:vAlign w:val="center"/>
          </w:tcPr>
          <w:p>
            <w:pPr>
              <w:jc w:val="left"/>
              <w:rPr>
                <w:rFonts w:ascii="仿宋" w:hAnsi="仿宋" w:eastAsia="仿宋" w:cs="仿宋"/>
                <w:bCs/>
                <w:szCs w:val="21"/>
              </w:rPr>
            </w:pPr>
            <w:r>
              <w:rPr>
                <w:rFonts w:hint="eastAsia" w:ascii="仿宋" w:hAnsi="仿宋" w:eastAsia="仿宋" w:cs="仿宋"/>
                <w:bCs/>
                <w:szCs w:val="21"/>
              </w:rPr>
              <w:t>人文学院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6" w:type="dxa"/>
            <w:vMerge w:val="continue"/>
            <w:vAlign w:val="center"/>
          </w:tcPr>
          <w:p>
            <w:pPr>
              <w:jc w:val="center"/>
              <w:rPr>
                <w:rFonts w:ascii="仿宋" w:hAnsi="仿宋" w:eastAsia="仿宋" w:cs="仿宋"/>
                <w:b/>
                <w:szCs w:val="21"/>
              </w:rPr>
            </w:pPr>
          </w:p>
        </w:tc>
        <w:tc>
          <w:tcPr>
            <w:tcW w:w="2376" w:type="dxa"/>
            <w:vAlign w:val="center"/>
          </w:tcPr>
          <w:p>
            <w:pPr>
              <w:jc w:val="left"/>
              <w:rPr>
                <w:rFonts w:ascii="仿宋" w:hAnsi="仿宋" w:eastAsia="仿宋" w:cs="仿宋"/>
                <w:bCs/>
                <w:szCs w:val="21"/>
              </w:rPr>
            </w:pPr>
            <w:r>
              <w:rPr>
                <w:rFonts w:hint="eastAsia" w:ascii="仿宋" w:hAnsi="仿宋" w:eastAsia="仿宋" w:cs="仿宋"/>
                <w:bCs/>
                <w:szCs w:val="21"/>
              </w:rPr>
              <w:t>发动师生参加省厅组织的教学能力大赛和国防知识竞赛</w:t>
            </w:r>
          </w:p>
        </w:tc>
        <w:tc>
          <w:tcPr>
            <w:tcW w:w="3140" w:type="dxa"/>
            <w:vAlign w:val="center"/>
          </w:tcPr>
          <w:p>
            <w:pPr>
              <w:jc w:val="left"/>
              <w:rPr>
                <w:rFonts w:ascii="仿宋" w:hAnsi="仿宋" w:eastAsia="仿宋" w:cs="仿宋"/>
                <w:bCs/>
                <w:szCs w:val="21"/>
              </w:rPr>
            </w:pPr>
            <w:r>
              <w:rPr>
                <w:rFonts w:hint="eastAsia" w:ascii="仿宋" w:hAnsi="仿宋" w:eastAsia="仿宋" w:cs="仿宋"/>
                <w:bCs/>
                <w:szCs w:val="21"/>
              </w:rPr>
              <w:t>高职学生参加广东省教育厅等组织的国防知识参与率到达90%以上，教师参加教师教学能力比赛获得二等奖以上奖项。</w:t>
            </w:r>
          </w:p>
        </w:tc>
        <w:tc>
          <w:tcPr>
            <w:tcW w:w="1554" w:type="dxa"/>
            <w:vAlign w:val="center"/>
          </w:tcPr>
          <w:p>
            <w:pPr>
              <w:jc w:val="left"/>
              <w:rPr>
                <w:rFonts w:ascii="仿宋" w:hAnsi="仿宋" w:eastAsia="仿宋" w:cs="仿宋"/>
                <w:bCs/>
                <w:szCs w:val="21"/>
              </w:rPr>
            </w:pPr>
            <w:r>
              <w:rPr>
                <w:rFonts w:hint="eastAsia" w:ascii="仿宋" w:hAnsi="仿宋" w:eastAsia="仿宋" w:cs="仿宋"/>
                <w:bCs/>
                <w:szCs w:val="21"/>
              </w:rPr>
              <w:t>人文学院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6" w:type="dxa"/>
            <w:vMerge w:val="continue"/>
            <w:vAlign w:val="center"/>
          </w:tcPr>
          <w:p>
            <w:pPr>
              <w:jc w:val="center"/>
              <w:rPr>
                <w:rFonts w:ascii="仿宋" w:hAnsi="仿宋" w:eastAsia="仿宋" w:cs="仿宋"/>
                <w:b/>
                <w:szCs w:val="21"/>
              </w:rPr>
            </w:pPr>
          </w:p>
        </w:tc>
        <w:tc>
          <w:tcPr>
            <w:tcW w:w="2376" w:type="dxa"/>
            <w:vAlign w:val="center"/>
          </w:tcPr>
          <w:p>
            <w:pPr>
              <w:jc w:val="left"/>
              <w:rPr>
                <w:rFonts w:ascii="仿宋" w:hAnsi="仿宋" w:eastAsia="仿宋" w:cs="仿宋"/>
                <w:bCs/>
                <w:szCs w:val="21"/>
              </w:rPr>
            </w:pPr>
            <w:r>
              <w:rPr>
                <w:rFonts w:hint="eastAsia" w:ascii="仿宋" w:hAnsi="仿宋" w:eastAsia="仿宋" w:cs="仿宋"/>
                <w:bCs/>
                <w:szCs w:val="21"/>
              </w:rPr>
              <w:t>征兵任务</w:t>
            </w:r>
          </w:p>
          <w:p>
            <w:pPr>
              <w:jc w:val="left"/>
              <w:rPr>
                <w:rFonts w:ascii="仿宋" w:hAnsi="仿宋" w:eastAsia="仿宋" w:cs="仿宋"/>
                <w:bCs/>
                <w:szCs w:val="21"/>
              </w:rPr>
            </w:pPr>
            <w:r>
              <w:rPr>
                <w:rFonts w:hint="eastAsia" w:ascii="仿宋" w:hAnsi="仿宋" w:eastAsia="仿宋" w:cs="仿宋"/>
                <w:bCs/>
                <w:szCs w:val="21"/>
              </w:rPr>
              <w:t>退役士兵培训</w:t>
            </w:r>
          </w:p>
        </w:tc>
        <w:tc>
          <w:tcPr>
            <w:tcW w:w="3140" w:type="dxa"/>
            <w:vAlign w:val="center"/>
          </w:tcPr>
          <w:p>
            <w:pPr>
              <w:jc w:val="left"/>
              <w:rPr>
                <w:rFonts w:ascii="仿宋" w:hAnsi="仿宋" w:eastAsia="仿宋" w:cs="仿宋"/>
                <w:bCs/>
                <w:szCs w:val="21"/>
              </w:rPr>
            </w:pPr>
            <w:r>
              <w:rPr>
                <w:rFonts w:hint="eastAsia" w:ascii="仿宋" w:hAnsi="仿宋" w:eastAsia="仿宋" w:cs="仿宋"/>
                <w:bCs/>
                <w:szCs w:val="21"/>
              </w:rPr>
              <w:t>圆满完成每年的征兵任务，对接惠州市退役军人事务局高质量完成自主就业退役士兵适应性培训。</w:t>
            </w:r>
          </w:p>
          <w:p>
            <w:pPr>
              <w:jc w:val="left"/>
              <w:rPr>
                <w:rFonts w:ascii="仿宋" w:hAnsi="仿宋" w:eastAsia="仿宋" w:cs="仿宋"/>
                <w:bCs/>
                <w:szCs w:val="21"/>
              </w:rPr>
            </w:pPr>
          </w:p>
        </w:tc>
        <w:tc>
          <w:tcPr>
            <w:tcW w:w="1554" w:type="dxa"/>
            <w:vAlign w:val="center"/>
          </w:tcPr>
          <w:p>
            <w:pPr>
              <w:jc w:val="left"/>
              <w:rPr>
                <w:rFonts w:ascii="仿宋" w:hAnsi="仿宋" w:eastAsia="仿宋" w:cs="仿宋"/>
                <w:bCs/>
                <w:szCs w:val="21"/>
              </w:rPr>
            </w:pPr>
            <w:r>
              <w:rPr>
                <w:rFonts w:hint="eastAsia" w:ascii="仿宋" w:hAnsi="仿宋" w:eastAsia="仿宋" w:cs="仿宋"/>
                <w:bCs/>
                <w:szCs w:val="21"/>
              </w:rPr>
              <w:t>人民武装部、继续教育中心、招生办公室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6" w:type="dxa"/>
            <w:vMerge w:val="restart"/>
            <w:vAlign w:val="center"/>
          </w:tcPr>
          <w:p>
            <w:pPr>
              <w:jc w:val="center"/>
              <w:rPr>
                <w:rFonts w:ascii="仿宋" w:hAnsi="仿宋" w:eastAsia="仿宋" w:cs="仿宋"/>
                <w:b/>
                <w:szCs w:val="21"/>
              </w:rPr>
            </w:pPr>
            <w:r>
              <w:rPr>
                <w:rFonts w:hint="eastAsia" w:ascii="仿宋" w:hAnsi="仿宋" w:eastAsia="仿宋" w:cs="仿宋"/>
                <w:b/>
                <w:szCs w:val="21"/>
              </w:rPr>
              <w:t>2024</w:t>
            </w:r>
          </w:p>
        </w:tc>
        <w:tc>
          <w:tcPr>
            <w:tcW w:w="2376" w:type="dxa"/>
            <w:vAlign w:val="center"/>
          </w:tcPr>
          <w:p>
            <w:pPr>
              <w:jc w:val="left"/>
              <w:rPr>
                <w:rFonts w:ascii="仿宋" w:hAnsi="仿宋" w:eastAsia="仿宋" w:cs="仿宋"/>
                <w:bCs/>
                <w:szCs w:val="21"/>
              </w:rPr>
            </w:pPr>
            <w:r>
              <w:rPr>
                <w:rFonts w:hint="eastAsia" w:ascii="仿宋" w:hAnsi="仿宋" w:eastAsia="仿宋" w:cs="仿宋"/>
                <w:bCs/>
                <w:szCs w:val="21"/>
              </w:rPr>
              <w:t>加强党的全面领导</w:t>
            </w:r>
          </w:p>
        </w:tc>
        <w:tc>
          <w:tcPr>
            <w:tcW w:w="3140" w:type="dxa"/>
            <w:vAlign w:val="center"/>
          </w:tcPr>
          <w:p>
            <w:pPr>
              <w:jc w:val="left"/>
              <w:rPr>
                <w:rFonts w:ascii="仿宋" w:hAnsi="仿宋" w:eastAsia="仿宋" w:cs="仿宋"/>
                <w:bCs/>
                <w:szCs w:val="21"/>
              </w:rPr>
            </w:pPr>
            <w:r>
              <w:rPr>
                <w:rFonts w:hint="eastAsia" w:ascii="仿宋" w:hAnsi="仿宋" w:eastAsia="仿宋" w:cs="仿宋"/>
                <w:bCs/>
                <w:szCs w:val="21"/>
              </w:rPr>
              <w:t>学校将国防教育内容纳入学校思政教育工作体系。</w:t>
            </w:r>
          </w:p>
        </w:tc>
        <w:tc>
          <w:tcPr>
            <w:tcW w:w="1554" w:type="dxa"/>
            <w:vAlign w:val="center"/>
          </w:tcPr>
          <w:p>
            <w:pPr>
              <w:jc w:val="left"/>
              <w:rPr>
                <w:rFonts w:ascii="仿宋" w:hAnsi="仿宋" w:eastAsia="仿宋" w:cs="仿宋"/>
                <w:bCs/>
                <w:szCs w:val="21"/>
              </w:rPr>
            </w:pPr>
            <w:r>
              <w:rPr>
                <w:rFonts w:hint="eastAsia" w:ascii="仿宋" w:hAnsi="仿宋" w:eastAsia="仿宋" w:cs="仿宋"/>
                <w:bCs/>
                <w:szCs w:val="21"/>
              </w:rPr>
              <w:t>党政办、人文学院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6" w:type="dxa"/>
            <w:vMerge w:val="continue"/>
            <w:vAlign w:val="center"/>
          </w:tcPr>
          <w:p>
            <w:pPr>
              <w:jc w:val="left"/>
              <w:rPr>
                <w:rFonts w:ascii="仿宋" w:hAnsi="仿宋" w:eastAsia="仿宋" w:cs="仿宋"/>
                <w:bCs/>
                <w:szCs w:val="21"/>
              </w:rPr>
            </w:pPr>
          </w:p>
        </w:tc>
        <w:tc>
          <w:tcPr>
            <w:tcW w:w="2376" w:type="dxa"/>
            <w:vAlign w:val="center"/>
          </w:tcPr>
          <w:p>
            <w:pPr>
              <w:jc w:val="left"/>
              <w:rPr>
                <w:rFonts w:ascii="仿宋" w:hAnsi="仿宋" w:eastAsia="仿宋" w:cs="仿宋"/>
                <w:bCs/>
                <w:szCs w:val="21"/>
              </w:rPr>
            </w:pPr>
            <w:r>
              <w:rPr>
                <w:rFonts w:hint="eastAsia" w:ascii="仿宋" w:hAnsi="仿宋" w:eastAsia="仿宋" w:cs="仿宋"/>
                <w:bCs/>
                <w:szCs w:val="21"/>
              </w:rPr>
              <w:t>开展和驻地部队共建共育工程</w:t>
            </w:r>
          </w:p>
        </w:tc>
        <w:tc>
          <w:tcPr>
            <w:tcW w:w="3140" w:type="dxa"/>
            <w:vAlign w:val="center"/>
          </w:tcPr>
          <w:p>
            <w:pPr>
              <w:jc w:val="left"/>
              <w:rPr>
                <w:rFonts w:ascii="仿宋" w:hAnsi="仿宋" w:eastAsia="仿宋" w:cs="仿宋"/>
                <w:bCs/>
                <w:szCs w:val="21"/>
              </w:rPr>
            </w:pPr>
            <w:r>
              <w:rPr>
                <w:rFonts w:hint="eastAsia" w:ascii="仿宋" w:hAnsi="仿宋" w:eastAsia="仿宋" w:cs="仿宋"/>
                <w:bCs/>
                <w:szCs w:val="21"/>
              </w:rPr>
              <w:t>和驻地部队签署共建共育协议，每年组织1000人次“走进军营”见习见学，军地联办的“大中小学生军事夏（冬）令营”， 开展名师名家到部队讲座以及模范军人进国防教育宣讲等活动。</w:t>
            </w:r>
          </w:p>
        </w:tc>
        <w:tc>
          <w:tcPr>
            <w:tcW w:w="1554" w:type="dxa"/>
            <w:vAlign w:val="center"/>
          </w:tcPr>
          <w:p>
            <w:pPr>
              <w:jc w:val="left"/>
              <w:rPr>
                <w:rFonts w:ascii="仿宋" w:hAnsi="仿宋" w:eastAsia="仿宋" w:cs="仿宋"/>
                <w:bCs/>
                <w:szCs w:val="21"/>
              </w:rPr>
            </w:pPr>
            <w:r>
              <w:rPr>
                <w:rFonts w:hint="eastAsia" w:ascii="仿宋" w:hAnsi="仿宋" w:eastAsia="仿宋" w:cs="仿宋"/>
                <w:bCs/>
                <w:szCs w:val="21"/>
              </w:rPr>
              <w:t>人文学院、党政办、学生处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6" w:type="dxa"/>
            <w:vMerge w:val="continue"/>
            <w:vAlign w:val="center"/>
          </w:tcPr>
          <w:p>
            <w:pPr>
              <w:jc w:val="center"/>
              <w:rPr>
                <w:rFonts w:ascii="仿宋" w:hAnsi="仿宋" w:eastAsia="仿宋" w:cs="仿宋"/>
                <w:bCs/>
                <w:szCs w:val="21"/>
              </w:rPr>
            </w:pPr>
          </w:p>
        </w:tc>
        <w:tc>
          <w:tcPr>
            <w:tcW w:w="2376" w:type="dxa"/>
            <w:vAlign w:val="center"/>
          </w:tcPr>
          <w:p>
            <w:pPr>
              <w:jc w:val="left"/>
              <w:rPr>
                <w:rFonts w:ascii="仿宋" w:hAnsi="仿宋" w:eastAsia="仿宋" w:cs="仿宋"/>
                <w:bCs/>
                <w:szCs w:val="21"/>
              </w:rPr>
            </w:pPr>
            <w:r>
              <w:rPr>
                <w:rFonts w:hint="eastAsia" w:ascii="仿宋" w:hAnsi="仿宋" w:eastAsia="仿宋" w:cs="仿宋"/>
                <w:bCs/>
                <w:szCs w:val="21"/>
              </w:rPr>
              <w:t>开展国防教育活动项目</w:t>
            </w:r>
          </w:p>
        </w:tc>
        <w:tc>
          <w:tcPr>
            <w:tcW w:w="3140" w:type="dxa"/>
            <w:vAlign w:val="center"/>
          </w:tcPr>
          <w:p>
            <w:pPr>
              <w:jc w:val="left"/>
              <w:rPr>
                <w:rFonts w:ascii="仿宋" w:hAnsi="仿宋" w:eastAsia="仿宋" w:cs="仿宋"/>
                <w:bCs/>
                <w:szCs w:val="21"/>
              </w:rPr>
            </w:pPr>
            <w:r>
              <w:rPr>
                <w:rFonts w:hint="eastAsia" w:ascii="仿宋" w:hAnsi="仿宋" w:eastAsia="仿宋" w:cs="仿宋"/>
                <w:bCs/>
                <w:szCs w:val="21"/>
              </w:rPr>
              <w:t>策划一批国防教育类选题列入社科规划选题，申报省级课题，在学校各种文化节中展示国防教育成果节目。</w:t>
            </w:r>
          </w:p>
        </w:tc>
        <w:tc>
          <w:tcPr>
            <w:tcW w:w="1554" w:type="dxa"/>
            <w:vAlign w:val="center"/>
          </w:tcPr>
          <w:p>
            <w:pPr>
              <w:jc w:val="left"/>
              <w:rPr>
                <w:rFonts w:ascii="仿宋" w:hAnsi="仿宋" w:eastAsia="仿宋" w:cs="仿宋"/>
                <w:bCs/>
                <w:szCs w:val="21"/>
              </w:rPr>
            </w:pPr>
            <w:r>
              <w:rPr>
                <w:rFonts w:hint="eastAsia" w:ascii="仿宋" w:hAnsi="仿宋" w:eastAsia="仿宋" w:cs="仿宋"/>
                <w:bCs/>
                <w:szCs w:val="21"/>
              </w:rPr>
              <w:t>人文学院、团委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6" w:type="dxa"/>
            <w:vMerge w:val="continue"/>
            <w:vAlign w:val="center"/>
          </w:tcPr>
          <w:p>
            <w:pPr>
              <w:jc w:val="center"/>
              <w:rPr>
                <w:rFonts w:ascii="仿宋" w:hAnsi="仿宋" w:eastAsia="仿宋" w:cs="仿宋"/>
                <w:bCs/>
                <w:szCs w:val="21"/>
              </w:rPr>
            </w:pPr>
          </w:p>
        </w:tc>
        <w:tc>
          <w:tcPr>
            <w:tcW w:w="2376" w:type="dxa"/>
            <w:vAlign w:val="center"/>
          </w:tcPr>
          <w:p>
            <w:pPr>
              <w:jc w:val="left"/>
              <w:rPr>
                <w:rFonts w:ascii="仿宋" w:hAnsi="仿宋" w:eastAsia="仿宋" w:cs="仿宋"/>
                <w:bCs/>
                <w:szCs w:val="21"/>
              </w:rPr>
            </w:pPr>
            <w:r>
              <w:rPr>
                <w:rFonts w:hint="eastAsia" w:ascii="仿宋" w:hAnsi="仿宋" w:eastAsia="仿宋" w:cs="仿宋"/>
                <w:bCs/>
                <w:szCs w:val="21"/>
              </w:rPr>
              <w:t>征兵任务</w:t>
            </w:r>
          </w:p>
          <w:p>
            <w:pPr>
              <w:jc w:val="left"/>
              <w:rPr>
                <w:rFonts w:ascii="仿宋" w:hAnsi="仿宋" w:eastAsia="仿宋" w:cs="仿宋"/>
                <w:bCs/>
                <w:szCs w:val="21"/>
              </w:rPr>
            </w:pPr>
            <w:r>
              <w:rPr>
                <w:rFonts w:hint="eastAsia" w:ascii="仿宋" w:hAnsi="仿宋" w:eastAsia="仿宋" w:cs="仿宋"/>
                <w:bCs/>
                <w:szCs w:val="21"/>
              </w:rPr>
              <w:t>退役士兵培训</w:t>
            </w:r>
          </w:p>
        </w:tc>
        <w:tc>
          <w:tcPr>
            <w:tcW w:w="3140" w:type="dxa"/>
            <w:vAlign w:val="center"/>
          </w:tcPr>
          <w:p>
            <w:pPr>
              <w:jc w:val="left"/>
              <w:rPr>
                <w:rFonts w:ascii="仿宋" w:hAnsi="仿宋" w:eastAsia="仿宋" w:cs="仿宋"/>
                <w:bCs/>
                <w:szCs w:val="21"/>
              </w:rPr>
            </w:pPr>
            <w:r>
              <w:rPr>
                <w:rFonts w:hint="eastAsia" w:ascii="仿宋" w:hAnsi="仿宋" w:eastAsia="仿宋" w:cs="仿宋"/>
                <w:bCs/>
                <w:szCs w:val="21"/>
              </w:rPr>
              <w:t>圆满完成每年的征兵任务，对接惠州市退役军人事务局高质量完成自主就业退役士兵适应性培训。</w:t>
            </w:r>
          </w:p>
        </w:tc>
        <w:tc>
          <w:tcPr>
            <w:tcW w:w="1554" w:type="dxa"/>
            <w:vAlign w:val="center"/>
          </w:tcPr>
          <w:p>
            <w:pPr>
              <w:jc w:val="left"/>
              <w:rPr>
                <w:rFonts w:ascii="仿宋" w:hAnsi="仿宋" w:eastAsia="仿宋" w:cs="仿宋"/>
                <w:bCs/>
                <w:szCs w:val="21"/>
              </w:rPr>
            </w:pPr>
            <w:r>
              <w:rPr>
                <w:rFonts w:hint="eastAsia" w:ascii="仿宋" w:hAnsi="仿宋" w:eastAsia="仿宋" w:cs="仿宋"/>
                <w:bCs/>
                <w:szCs w:val="21"/>
              </w:rPr>
              <w:t>人民武装部、继续教育中心、招生办公室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6" w:type="dxa"/>
            <w:vMerge w:val="restart"/>
            <w:vAlign w:val="center"/>
          </w:tcPr>
          <w:p>
            <w:pPr>
              <w:jc w:val="center"/>
              <w:rPr>
                <w:rFonts w:ascii="仿宋" w:hAnsi="仿宋" w:eastAsia="仿宋" w:cs="仿宋"/>
                <w:bCs/>
                <w:szCs w:val="21"/>
              </w:rPr>
            </w:pPr>
            <w:r>
              <w:rPr>
                <w:rFonts w:hint="eastAsia" w:ascii="仿宋" w:hAnsi="仿宋" w:eastAsia="仿宋" w:cs="仿宋"/>
                <w:b/>
                <w:szCs w:val="21"/>
              </w:rPr>
              <w:t>2025</w:t>
            </w:r>
          </w:p>
        </w:tc>
        <w:tc>
          <w:tcPr>
            <w:tcW w:w="2376" w:type="dxa"/>
            <w:vAlign w:val="center"/>
          </w:tcPr>
          <w:p>
            <w:pPr>
              <w:jc w:val="left"/>
              <w:rPr>
                <w:rFonts w:ascii="仿宋" w:hAnsi="仿宋" w:eastAsia="仿宋" w:cs="仿宋"/>
                <w:bCs/>
                <w:szCs w:val="21"/>
              </w:rPr>
            </w:pPr>
            <w:r>
              <w:rPr>
                <w:rFonts w:hint="eastAsia" w:ascii="仿宋" w:hAnsi="仿宋" w:eastAsia="仿宋" w:cs="仿宋"/>
                <w:bCs/>
                <w:szCs w:val="21"/>
              </w:rPr>
              <w:t>加强党的全面领导</w:t>
            </w:r>
          </w:p>
        </w:tc>
        <w:tc>
          <w:tcPr>
            <w:tcW w:w="3140" w:type="dxa"/>
            <w:vAlign w:val="center"/>
          </w:tcPr>
          <w:p>
            <w:pPr>
              <w:jc w:val="left"/>
              <w:rPr>
                <w:rFonts w:ascii="仿宋" w:hAnsi="仿宋" w:eastAsia="仿宋" w:cs="仿宋"/>
                <w:bCs/>
                <w:szCs w:val="21"/>
              </w:rPr>
            </w:pPr>
            <w:r>
              <w:rPr>
                <w:rFonts w:hint="eastAsia" w:ascii="仿宋" w:hAnsi="仿宋" w:eastAsia="仿宋" w:cs="仿宋"/>
                <w:bCs/>
                <w:szCs w:val="21"/>
              </w:rPr>
              <w:t>学校将国防教育内容纳入学校思政教育工作体系。</w:t>
            </w:r>
          </w:p>
        </w:tc>
        <w:tc>
          <w:tcPr>
            <w:tcW w:w="1554" w:type="dxa"/>
            <w:vAlign w:val="center"/>
          </w:tcPr>
          <w:p>
            <w:pPr>
              <w:jc w:val="left"/>
              <w:rPr>
                <w:rFonts w:ascii="仿宋" w:hAnsi="仿宋" w:eastAsia="仿宋" w:cs="仿宋"/>
                <w:bCs/>
                <w:szCs w:val="21"/>
              </w:rPr>
            </w:pPr>
            <w:r>
              <w:rPr>
                <w:rFonts w:hint="eastAsia" w:ascii="仿宋" w:hAnsi="仿宋" w:eastAsia="仿宋" w:cs="仿宋"/>
                <w:bCs/>
                <w:szCs w:val="21"/>
              </w:rPr>
              <w:t>党政办、人文学院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6" w:type="dxa"/>
            <w:vMerge w:val="continue"/>
            <w:vAlign w:val="center"/>
          </w:tcPr>
          <w:p>
            <w:pPr>
              <w:jc w:val="center"/>
              <w:rPr>
                <w:rFonts w:ascii="仿宋" w:hAnsi="仿宋" w:eastAsia="仿宋" w:cs="仿宋"/>
                <w:bCs/>
                <w:szCs w:val="21"/>
              </w:rPr>
            </w:pPr>
          </w:p>
        </w:tc>
        <w:tc>
          <w:tcPr>
            <w:tcW w:w="2376" w:type="dxa"/>
            <w:vAlign w:val="center"/>
          </w:tcPr>
          <w:p>
            <w:pPr>
              <w:jc w:val="left"/>
              <w:rPr>
                <w:rFonts w:ascii="仿宋" w:hAnsi="仿宋" w:eastAsia="仿宋" w:cs="仿宋"/>
                <w:bCs/>
                <w:szCs w:val="21"/>
              </w:rPr>
            </w:pPr>
            <w:r>
              <w:rPr>
                <w:rFonts w:hint="eastAsia" w:ascii="仿宋" w:hAnsi="仿宋" w:eastAsia="仿宋" w:cs="仿宋"/>
                <w:bCs/>
                <w:szCs w:val="21"/>
              </w:rPr>
              <w:t>丰富国防教育形式，提升国防教育与人工智能相结合</w:t>
            </w:r>
          </w:p>
        </w:tc>
        <w:tc>
          <w:tcPr>
            <w:tcW w:w="3140" w:type="dxa"/>
            <w:vAlign w:val="center"/>
          </w:tcPr>
          <w:p>
            <w:pPr>
              <w:jc w:val="left"/>
              <w:rPr>
                <w:rFonts w:ascii="仿宋" w:hAnsi="仿宋" w:eastAsia="仿宋" w:cs="仿宋"/>
                <w:bCs/>
                <w:szCs w:val="21"/>
              </w:rPr>
            </w:pPr>
            <w:r>
              <w:rPr>
                <w:rFonts w:hint="eastAsia" w:ascii="仿宋" w:hAnsi="仿宋" w:eastAsia="仿宋" w:cs="仿宋"/>
                <w:bCs/>
                <w:szCs w:val="21"/>
              </w:rPr>
              <w:t>在《军事理论课》教学中加入参观革命史迹、主题场馆等实践教学，同时开展国防教育知识竞赛、文艺演出等活动，探索运用人工智能等现代高科技手段，增强国防教育的吸引力、感召力。</w:t>
            </w:r>
          </w:p>
        </w:tc>
        <w:tc>
          <w:tcPr>
            <w:tcW w:w="1554" w:type="dxa"/>
            <w:vAlign w:val="center"/>
          </w:tcPr>
          <w:p>
            <w:pPr>
              <w:jc w:val="left"/>
              <w:rPr>
                <w:rFonts w:ascii="仿宋" w:hAnsi="仿宋" w:eastAsia="仿宋" w:cs="仿宋"/>
                <w:bCs/>
                <w:szCs w:val="21"/>
              </w:rPr>
            </w:pPr>
            <w:r>
              <w:rPr>
                <w:rFonts w:hint="eastAsia" w:ascii="仿宋" w:hAnsi="仿宋" w:eastAsia="仿宋" w:cs="仿宋"/>
                <w:bCs/>
                <w:szCs w:val="21"/>
              </w:rPr>
              <w:t>人文学院、学生处、团委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6" w:type="dxa"/>
            <w:vMerge w:val="continue"/>
            <w:vAlign w:val="center"/>
          </w:tcPr>
          <w:p>
            <w:pPr>
              <w:jc w:val="center"/>
              <w:rPr>
                <w:rFonts w:ascii="仿宋" w:hAnsi="仿宋" w:eastAsia="仿宋" w:cs="仿宋"/>
                <w:bCs/>
                <w:szCs w:val="21"/>
              </w:rPr>
            </w:pPr>
          </w:p>
        </w:tc>
        <w:tc>
          <w:tcPr>
            <w:tcW w:w="2376" w:type="dxa"/>
            <w:vAlign w:val="center"/>
          </w:tcPr>
          <w:p>
            <w:pPr>
              <w:jc w:val="left"/>
              <w:rPr>
                <w:rFonts w:ascii="仿宋" w:hAnsi="仿宋" w:eastAsia="仿宋" w:cs="仿宋"/>
                <w:bCs/>
                <w:szCs w:val="21"/>
              </w:rPr>
            </w:pPr>
            <w:r>
              <w:rPr>
                <w:rFonts w:hint="eastAsia" w:ascii="仿宋" w:hAnsi="仿宋" w:eastAsia="仿宋" w:cs="仿宋"/>
                <w:bCs/>
                <w:szCs w:val="21"/>
              </w:rPr>
              <w:t>申报为省级、国家级国防教育基地</w:t>
            </w:r>
          </w:p>
        </w:tc>
        <w:tc>
          <w:tcPr>
            <w:tcW w:w="3140" w:type="dxa"/>
            <w:vAlign w:val="center"/>
          </w:tcPr>
          <w:p>
            <w:pPr>
              <w:jc w:val="left"/>
              <w:rPr>
                <w:rFonts w:ascii="仿宋" w:hAnsi="仿宋" w:eastAsia="仿宋" w:cs="仿宋"/>
                <w:bCs/>
                <w:szCs w:val="21"/>
              </w:rPr>
            </w:pPr>
            <w:r>
              <w:rPr>
                <w:rFonts w:hint="eastAsia" w:ascii="仿宋" w:hAnsi="仿宋" w:eastAsia="仿宋" w:cs="仿宋"/>
                <w:bCs/>
                <w:szCs w:val="21"/>
              </w:rPr>
              <w:t>继续打造国防教学团队，申报省级国防教学科研专项小组；营造培育“家国情怀”的校园环境，建设国防知识长廊。</w:t>
            </w:r>
          </w:p>
        </w:tc>
        <w:tc>
          <w:tcPr>
            <w:tcW w:w="1554" w:type="dxa"/>
            <w:vAlign w:val="center"/>
          </w:tcPr>
          <w:p>
            <w:pPr>
              <w:jc w:val="left"/>
              <w:rPr>
                <w:rFonts w:ascii="仿宋" w:hAnsi="仿宋" w:eastAsia="仿宋" w:cs="仿宋"/>
                <w:bCs/>
                <w:szCs w:val="21"/>
              </w:rPr>
            </w:pPr>
            <w:r>
              <w:rPr>
                <w:rFonts w:hint="eastAsia" w:ascii="仿宋" w:hAnsi="仿宋" w:eastAsia="仿宋" w:cs="仿宋"/>
                <w:bCs/>
                <w:szCs w:val="21"/>
              </w:rPr>
              <w:t>人文学院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6" w:type="dxa"/>
            <w:vMerge w:val="continue"/>
            <w:vAlign w:val="center"/>
          </w:tcPr>
          <w:p>
            <w:pPr>
              <w:jc w:val="center"/>
              <w:rPr>
                <w:rFonts w:ascii="仿宋" w:hAnsi="仿宋" w:eastAsia="仿宋" w:cs="仿宋"/>
                <w:bCs/>
                <w:szCs w:val="21"/>
              </w:rPr>
            </w:pPr>
          </w:p>
        </w:tc>
        <w:tc>
          <w:tcPr>
            <w:tcW w:w="2376" w:type="dxa"/>
            <w:vAlign w:val="center"/>
          </w:tcPr>
          <w:p>
            <w:pPr>
              <w:jc w:val="left"/>
              <w:rPr>
                <w:rFonts w:ascii="仿宋" w:hAnsi="仿宋" w:eastAsia="仿宋" w:cs="仿宋"/>
                <w:bCs/>
                <w:szCs w:val="21"/>
              </w:rPr>
            </w:pPr>
            <w:r>
              <w:rPr>
                <w:rFonts w:hint="eastAsia" w:ascii="仿宋" w:hAnsi="仿宋" w:eastAsia="仿宋" w:cs="仿宋"/>
                <w:bCs/>
                <w:szCs w:val="21"/>
              </w:rPr>
              <w:t>征兵任务</w:t>
            </w:r>
          </w:p>
          <w:p>
            <w:pPr>
              <w:jc w:val="left"/>
              <w:rPr>
                <w:rFonts w:ascii="仿宋" w:hAnsi="仿宋" w:eastAsia="仿宋" w:cs="仿宋"/>
                <w:bCs/>
                <w:szCs w:val="21"/>
              </w:rPr>
            </w:pPr>
            <w:r>
              <w:rPr>
                <w:rFonts w:hint="eastAsia" w:ascii="仿宋" w:hAnsi="仿宋" w:eastAsia="仿宋" w:cs="仿宋"/>
                <w:bCs/>
                <w:szCs w:val="21"/>
              </w:rPr>
              <w:t>退役士兵培训</w:t>
            </w:r>
          </w:p>
        </w:tc>
        <w:tc>
          <w:tcPr>
            <w:tcW w:w="3140" w:type="dxa"/>
            <w:vAlign w:val="center"/>
          </w:tcPr>
          <w:p>
            <w:pPr>
              <w:jc w:val="left"/>
              <w:rPr>
                <w:rFonts w:ascii="仿宋" w:hAnsi="仿宋" w:eastAsia="仿宋" w:cs="仿宋"/>
                <w:bCs/>
                <w:szCs w:val="21"/>
              </w:rPr>
            </w:pPr>
            <w:r>
              <w:rPr>
                <w:rFonts w:hint="eastAsia" w:ascii="仿宋" w:hAnsi="仿宋" w:eastAsia="仿宋" w:cs="仿宋"/>
                <w:bCs/>
                <w:szCs w:val="21"/>
              </w:rPr>
              <w:t>圆满完成每年的征兵任务，对接惠州市退役军人事务局高质量完成自主就业退役士兵适应性培训。</w:t>
            </w:r>
          </w:p>
        </w:tc>
        <w:tc>
          <w:tcPr>
            <w:tcW w:w="1554" w:type="dxa"/>
            <w:vAlign w:val="center"/>
          </w:tcPr>
          <w:p>
            <w:pPr>
              <w:jc w:val="left"/>
              <w:rPr>
                <w:rFonts w:ascii="仿宋" w:hAnsi="仿宋" w:eastAsia="仿宋" w:cs="仿宋"/>
                <w:bCs/>
                <w:szCs w:val="21"/>
              </w:rPr>
            </w:pPr>
            <w:r>
              <w:rPr>
                <w:rFonts w:hint="eastAsia" w:ascii="仿宋" w:hAnsi="仿宋" w:eastAsia="仿宋" w:cs="仿宋"/>
                <w:bCs/>
                <w:szCs w:val="21"/>
              </w:rPr>
              <w:t>人民武装部、继续教育中心、招生办公室</w:t>
            </w:r>
          </w:p>
        </w:tc>
      </w:tr>
    </w:tbl>
    <w:p>
      <w:pPr>
        <w:ind w:firstLine="562" w:firstLineChars="200"/>
        <w:rPr>
          <w:rFonts w:ascii="仿宋" w:hAnsi="仿宋" w:eastAsia="仿宋"/>
          <w:b/>
          <w:bCs/>
          <w:sz w:val="28"/>
          <w:szCs w:val="28"/>
        </w:rPr>
      </w:pPr>
      <w:r>
        <w:rPr>
          <w:rFonts w:hint="eastAsia" w:ascii="仿宋" w:hAnsi="仿宋" w:eastAsia="仿宋"/>
          <w:b/>
          <w:bCs/>
          <w:sz w:val="28"/>
          <w:szCs w:val="28"/>
        </w:rPr>
        <w:t>（</w:t>
      </w:r>
      <w:r>
        <w:rPr>
          <w:rFonts w:ascii="Times New Roman" w:hAnsi="Times New Roman" w:eastAsia="仿宋" w:cs="Times New Roman"/>
          <w:b/>
          <w:bCs/>
          <w:sz w:val="28"/>
          <w:szCs w:val="28"/>
        </w:rPr>
        <w:t>6</w:t>
      </w:r>
      <w:r>
        <w:rPr>
          <w:rFonts w:hint="eastAsia" w:ascii="仿宋" w:hAnsi="仿宋" w:eastAsia="仿宋"/>
          <w:b/>
          <w:bCs/>
          <w:sz w:val="28"/>
          <w:szCs w:val="28"/>
        </w:rPr>
        <w:t>）预期成效及资金测算</w:t>
      </w:r>
    </w:p>
    <w:tbl>
      <w:tblPr>
        <w:tblStyle w:val="16"/>
        <w:tblW w:w="0" w:type="auto"/>
        <w:jc w:val="center"/>
        <w:tblLayout w:type="autofit"/>
        <w:tblCellMar>
          <w:top w:w="15" w:type="dxa"/>
          <w:left w:w="15" w:type="dxa"/>
          <w:bottom w:w="15" w:type="dxa"/>
          <w:right w:w="15" w:type="dxa"/>
        </w:tblCellMar>
      </w:tblPr>
      <w:tblGrid>
        <w:gridCol w:w="811"/>
        <w:gridCol w:w="2625"/>
        <w:gridCol w:w="3448"/>
        <w:gridCol w:w="484"/>
        <w:gridCol w:w="484"/>
        <w:gridCol w:w="484"/>
      </w:tblGrid>
      <w:tr>
        <w:tblPrEx>
          <w:tblCellMar>
            <w:top w:w="15" w:type="dxa"/>
            <w:left w:w="15" w:type="dxa"/>
            <w:bottom w:w="15" w:type="dxa"/>
            <w:right w:w="15" w:type="dxa"/>
          </w:tblCellMar>
        </w:tblPrEx>
        <w:trPr>
          <w:trHeight w:val="301"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jc w:val="center"/>
              <w:rPr>
                <w:rFonts w:ascii="仿宋" w:hAnsi="仿宋" w:eastAsia="仿宋"/>
                <w:b/>
                <w:bCs/>
                <w:szCs w:val="21"/>
              </w:rPr>
            </w:pPr>
            <w:r>
              <w:rPr>
                <w:rFonts w:hint="eastAsia" w:ascii="仿宋" w:hAnsi="仿宋" w:eastAsia="仿宋"/>
                <w:b/>
                <w:bCs/>
                <w:szCs w:val="21"/>
              </w:rPr>
              <w:t>项目名称</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jc w:val="center"/>
              <w:rPr>
                <w:rFonts w:ascii="仿宋" w:hAnsi="仿宋" w:eastAsia="仿宋"/>
                <w:b/>
                <w:bCs/>
                <w:szCs w:val="21"/>
              </w:rPr>
            </w:pPr>
            <w:r>
              <w:rPr>
                <w:rFonts w:hint="eastAsia" w:ascii="仿宋" w:hAnsi="仿宋" w:eastAsia="仿宋"/>
                <w:b/>
                <w:bCs/>
                <w:szCs w:val="21"/>
              </w:rPr>
              <w:t>主要建设内容</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ind w:firstLine="422" w:firstLineChars="200"/>
              <w:jc w:val="center"/>
              <w:rPr>
                <w:rFonts w:ascii="仿宋" w:hAnsi="仿宋" w:eastAsia="仿宋"/>
                <w:b/>
                <w:bCs/>
                <w:szCs w:val="21"/>
              </w:rPr>
            </w:pPr>
            <w:r>
              <w:rPr>
                <w:rFonts w:hint="eastAsia" w:ascii="仿宋" w:hAnsi="仿宋" w:eastAsia="仿宋"/>
                <w:b/>
                <w:bCs/>
                <w:szCs w:val="21"/>
              </w:rPr>
              <w:t>预期建设成效</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jc w:val="center"/>
              <w:rPr>
                <w:rFonts w:ascii="仿宋" w:hAnsi="仿宋" w:eastAsia="仿宋"/>
                <w:b/>
                <w:bCs/>
                <w:szCs w:val="21"/>
              </w:rPr>
            </w:pPr>
            <w:r>
              <w:rPr>
                <w:rFonts w:hint="eastAsia" w:ascii="仿宋" w:hAnsi="仿宋" w:eastAsia="仿宋"/>
                <w:b/>
                <w:bCs/>
                <w:szCs w:val="21"/>
              </w:rPr>
              <w:t>建设资金安排表（万元）</w:t>
            </w:r>
          </w:p>
        </w:tc>
      </w:tr>
      <w:tr>
        <w:tblPrEx>
          <w:tblCellMar>
            <w:top w:w="15" w:type="dxa"/>
            <w:left w:w="15" w:type="dxa"/>
            <w:bottom w:w="15" w:type="dxa"/>
            <w:right w:w="15" w:type="dxa"/>
          </w:tblCellMar>
        </w:tblPrEx>
        <w:trPr>
          <w:trHeight w:val="286"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ind w:firstLine="422" w:firstLineChars="200"/>
              <w:jc w:val="center"/>
              <w:rPr>
                <w:rFonts w:ascii="仿宋" w:hAnsi="仿宋" w:eastAsia="仿宋"/>
                <w:b/>
                <w:bCs/>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ind w:firstLine="422" w:firstLineChars="200"/>
              <w:jc w:val="center"/>
              <w:rPr>
                <w:rFonts w:ascii="仿宋" w:hAnsi="仿宋" w:eastAsia="仿宋"/>
                <w:b/>
                <w:bCs/>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ind w:firstLine="422" w:firstLineChars="200"/>
              <w:jc w:val="center"/>
              <w:rPr>
                <w:rFonts w:ascii="仿宋" w:hAnsi="仿宋" w:eastAsia="仿宋"/>
                <w:b/>
                <w:bCs/>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jc w:val="center"/>
              <w:rPr>
                <w:rFonts w:ascii="仿宋" w:hAnsi="仿宋" w:eastAsia="仿宋"/>
                <w:b/>
                <w:bCs/>
                <w:szCs w:val="21"/>
              </w:rPr>
            </w:pPr>
            <w:r>
              <w:rPr>
                <w:rFonts w:hint="eastAsia" w:ascii="仿宋" w:hAnsi="仿宋" w:eastAsia="仿宋"/>
                <w:b/>
                <w:bCs/>
                <w:szCs w:val="21"/>
              </w:rPr>
              <w:t>2023年</w:t>
            </w:r>
          </w:p>
        </w:tc>
        <w:tc>
          <w:tcPr>
            <w:tcW w:w="0" w:type="auto"/>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jc w:val="center"/>
              <w:rPr>
                <w:rFonts w:ascii="仿宋" w:hAnsi="仿宋" w:eastAsia="仿宋"/>
                <w:b/>
                <w:bCs/>
                <w:szCs w:val="21"/>
              </w:rPr>
            </w:pPr>
            <w:r>
              <w:rPr>
                <w:rFonts w:hint="eastAsia" w:ascii="仿宋" w:hAnsi="仿宋" w:eastAsia="仿宋"/>
                <w:b/>
                <w:bCs/>
                <w:szCs w:val="21"/>
              </w:rPr>
              <w:t>2024年</w:t>
            </w:r>
          </w:p>
        </w:tc>
        <w:tc>
          <w:tcPr>
            <w:tcW w:w="0" w:type="auto"/>
            <w:tcBorders>
              <w:top w:val="single" w:color="000000" w:sz="4" w:space="0"/>
              <w:left w:val="single" w:color="000000" w:sz="4" w:space="0"/>
              <w:bottom w:val="single" w:color="000000" w:sz="4" w:space="0"/>
              <w:right w:val="single" w:color="000000" w:sz="4" w:space="0"/>
            </w:tcBorders>
            <w:shd w:val="clear" w:color="auto" w:fill="4874CB" w:themeFill="accent1"/>
            <w:vAlign w:val="center"/>
          </w:tcPr>
          <w:p>
            <w:pPr>
              <w:jc w:val="center"/>
              <w:rPr>
                <w:rFonts w:ascii="仿宋" w:hAnsi="仿宋" w:eastAsia="仿宋"/>
                <w:b/>
                <w:bCs/>
                <w:szCs w:val="21"/>
              </w:rPr>
            </w:pPr>
            <w:r>
              <w:rPr>
                <w:rFonts w:hint="eastAsia" w:ascii="仿宋" w:hAnsi="仿宋" w:eastAsia="仿宋"/>
                <w:b/>
                <w:bCs/>
                <w:szCs w:val="21"/>
              </w:rPr>
              <w:t>2025年</w:t>
            </w:r>
          </w:p>
        </w:tc>
      </w:tr>
      <w:tr>
        <w:tblPrEx>
          <w:tblCellMar>
            <w:top w:w="15" w:type="dxa"/>
            <w:left w:w="15" w:type="dxa"/>
            <w:bottom w:w="15" w:type="dxa"/>
            <w:right w:w="15" w:type="dxa"/>
          </w:tblCellMar>
        </w:tblPrEx>
        <w:trPr>
          <w:trHeight w:val="450"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pPr>
              <w:jc w:val="left"/>
              <w:rPr>
                <w:rFonts w:ascii="仿宋" w:hAnsi="仿宋" w:eastAsia="仿宋"/>
                <w:bCs/>
                <w:szCs w:val="21"/>
              </w:rPr>
            </w:pPr>
            <w:r>
              <w:rPr>
                <w:rFonts w:hint="eastAsia" w:ascii="仿宋" w:hAnsi="仿宋" w:eastAsia="仿宋"/>
                <w:b/>
                <w:szCs w:val="21"/>
              </w:rPr>
              <w:t>弘扬爱国主义精神，国防教育文明实践</w:t>
            </w:r>
            <w:r>
              <w:fldChar w:fldCharType="begin"/>
            </w:r>
            <w:r>
              <w:instrText xml:space="preserve"> HYPERLINK \l "_Toc10407" </w:instrText>
            </w:r>
            <w:r>
              <w:fldChar w:fldCharType="separate"/>
            </w:r>
            <w:r>
              <w:rPr>
                <w:rFonts w:hint="eastAsia" w:ascii="仿宋" w:hAnsi="仿宋" w:eastAsia="仿宋"/>
                <w:b/>
                <w:szCs w:val="21"/>
              </w:rPr>
              <w:t>建设项目</w:t>
            </w:r>
            <w:r>
              <w:rPr>
                <w:rFonts w:hint="eastAsia" w:ascii="仿宋" w:hAnsi="仿宋" w:eastAsia="仿宋"/>
                <w:b/>
                <w:szCs w:val="21"/>
              </w:rPr>
              <w:fldChar w:fldCharType="end"/>
            </w:r>
          </w:p>
        </w:tc>
        <w:tc>
          <w:tcPr>
            <w:tcW w:w="0" w:type="auto"/>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bCs/>
                <w:szCs w:val="21"/>
              </w:rPr>
            </w:pPr>
            <w:r>
              <w:rPr>
                <w:rFonts w:hint="eastAsia" w:ascii="仿宋" w:hAnsi="仿宋" w:eastAsia="仿宋"/>
                <w:bCs/>
                <w:szCs w:val="21"/>
              </w:rPr>
              <w:t>打造国防教育教学团队，组建国防教学科研团队，申报国家级省级课题，和驻地部队签署共建共育协议，</w:t>
            </w:r>
            <w:r>
              <w:rPr>
                <w:rFonts w:hint="eastAsia" w:ascii="仿宋" w:hAnsi="仿宋" w:eastAsia="仿宋" w:cs="仿宋"/>
                <w:bCs/>
                <w:szCs w:val="21"/>
              </w:rPr>
              <w:t>丰富国防教育形</w:t>
            </w:r>
            <w:r>
              <w:rPr>
                <w:rFonts w:hint="eastAsia" w:ascii="仿宋" w:hAnsi="仿宋" w:eastAsia="仿宋"/>
                <w:bCs/>
                <w:szCs w:val="21"/>
              </w:rPr>
              <w:t>式，提升国防教育与人工智能相结合，深入开展“爱国旗”“护国旗”“学国旗法”实践教育活动。</w:t>
            </w:r>
          </w:p>
        </w:tc>
        <w:tc>
          <w:tcPr>
            <w:tcW w:w="0" w:type="auto"/>
            <w:tcBorders>
              <w:top w:val="single" w:color="000000" w:sz="4" w:space="0"/>
              <w:left w:val="single" w:color="000000" w:sz="4" w:space="0"/>
              <w:bottom w:val="single" w:color="000000" w:sz="4" w:space="0"/>
              <w:right w:val="single" w:color="000000" w:sz="4" w:space="0"/>
            </w:tcBorders>
            <w:vAlign w:val="center"/>
          </w:tcPr>
          <w:p>
            <w:pPr>
              <w:jc w:val="left"/>
              <w:rPr>
                <w:rFonts w:ascii="仿宋" w:hAnsi="仿宋" w:eastAsia="仿宋"/>
                <w:bCs/>
                <w:szCs w:val="21"/>
              </w:rPr>
            </w:pPr>
            <w:r>
              <w:rPr>
                <w:rFonts w:hint="eastAsia" w:ascii="仿宋" w:hAnsi="仿宋" w:eastAsia="仿宋"/>
                <w:bCs/>
                <w:szCs w:val="21"/>
              </w:rPr>
              <w:t>组织学生参加广东省教育厅等组织的国防知识参与率到达9</w:t>
            </w:r>
            <w:r>
              <w:rPr>
                <w:rFonts w:ascii="仿宋" w:hAnsi="仿宋" w:eastAsia="仿宋"/>
                <w:bCs/>
                <w:szCs w:val="21"/>
              </w:rPr>
              <w:t>0%以上，教师参</w:t>
            </w:r>
            <w:r>
              <w:rPr>
                <w:rFonts w:hint="eastAsia" w:ascii="仿宋" w:hAnsi="仿宋" w:eastAsia="仿宋"/>
                <w:bCs/>
                <w:szCs w:val="21"/>
              </w:rPr>
              <w:t>加教师教学能力比</w:t>
            </w:r>
            <w:r>
              <w:rPr>
                <w:rFonts w:ascii="仿宋" w:hAnsi="仿宋" w:eastAsia="仿宋"/>
                <w:bCs/>
                <w:szCs w:val="21"/>
              </w:rPr>
              <w:t>赛获得二等奖以上奖项。</w:t>
            </w:r>
            <w:r>
              <w:rPr>
                <w:rFonts w:hint="eastAsia" w:ascii="仿宋" w:hAnsi="仿宋" w:eastAsia="仿宋"/>
                <w:bCs/>
                <w:szCs w:val="21"/>
              </w:rPr>
              <w:t>每年组织1000人次</w:t>
            </w:r>
            <w:r>
              <w:rPr>
                <w:rFonts w:ascii="仿宋" w:hAnsi="仿宋" w:eastAsia="仿宋"/>
                <w:bCs/>
                <w:szCs w:val="21"/>
              </w:rPr>
              <w:t>“走进军营”见习见学，军地联办的“大</w:t>
            </w:r>
            <w:r>
              <w:rPr>
                <w:rFonts w:hint="eastAsia" w:ascii="仿宋" w:hAnsi="仿宋" w:eastAsia="仿宋"/>
                <w:bCs/>
                <w:szCs w:val="21"/>
              </w:rPr>
              <w:t>中小</w:t>
            </w:r>
            <w:r>
              <w:rPr>
                <w:rFonts w:ascii="仿宋" w:hAnsi="仿宋" w:eastAsia="仿宋"/>
                <w:bCs/>
                <w:szCs w:val="21"/>
              </w:rPr>
              <w:t>学生军事夏</w:t>
            </w:r>
            <w:r>
              <w:rPr>
                <w:rFonts w:hint="eastAsia" w:ascii="仿宋" w:hAnsi="仿宋" w:eastAsia="仿宋"/>
                <w:bCs/>
                <w:szCs w:val="21"/>
              </w:rPr>
              <w:t>（冬）</w:t>
            </w:r>
            <w:r>
              <w:rPr>
                <w:rFonts w:ascii="仿宋" w:hAnsi="仿宋" w:eastAsia="仿宋"/>
                <w:bCs/>
                <w:szCs w:val="21"/>
              </w:rPr>
              <w:t xml:space="preserve">令营”， </w:t>
            </w:r>
            <w:r>
              <w:rPr>
                <w:rFonts w:hint="eastAsia" w:ascii="仿宋" w:hAnsi="仿宋" w:eastAsia="仿宋"/>
                <w:bCs/>
                <w:szCs w:val="21"/>
              </w:rPr>
              <w:t>开展</w:t>
            </w:r>
            <w:r>
              <w:rPr>
                <w:rFonts w:ascii="仿宋" w:hAnsi="仿宋" w:eastAsia="仿宋"/>
                <w:bCs/>
                <w:szCs w:val="21"/>
              </w:rPr>
              <w:t>名师名家到部队讲座</w:t>
            </w:r>
            <w:r>
              <w:rPr>
                <w:rFonts w:hint="eastAsia" w:ascii="仿宋" w:hAnsi="仿宋" w:eastAsia="仿宋"/>
                <w:bCs/>
                <w:szCs w:val="21"/>
              </w:rPr>
              <w:t>以及模范军人进国防教育宣讲</w:t>
            </w:r>
            <w:r>
              <w:rPr>
                <w:rFonts w:ascii="仿宋" w:hAnsi="仿宋" w:eastAsia="仿宋"/>
                <w:bCs/>
                <w:szCs w:val="21"/>
              </w:rPr>
              <w:t>等活动。</w:t>
            </w:r>
            <w:r>
              <w:rPr>
                <w:rFonts w:hint="eastAsia" w:ascii="仿宋" w:hAnsi="仿宋" w:eastAsia="仿宋"/>
                <w:bCs/>
                <w:szCs w:val="21"/>
              </w:rPr>
              <w:t>在《军事理论课》教学中加入参观革命史迹、主题场馆等实践教学，同时开展国防教育知识竞赛、文艺演出等活动，探索运用人工智能等现代高科技手段，增强国防教育的吸引力、感召力。</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bCs/>
                <w:szCs w:val="21"/>
              </w:rPr>
            </w:pPr>
            <w:r>
              <w:rPr>
                <w:rFonts w:hint="eastAsia" w:ascii="仿宋" w:hAnsi="仿宋" w:eastAsia="仿宋"/>
                <w:bCs/>
                <w:szCs w:val="21"/>
              </w:rPr>
              <w:t>2</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bCs/>
                <w:szCs w:val="21"/>
              </w:rPr>
            </w:pPr>
            <w:r>
              <w:rPr>
                <w:rFonts w:hint="eastAsia" w:ascii="仿宋" w:hAnsi="仿宋" w:eastAsia="仿宋"/>
                <w:bCs/>
                <w:szCs w:val="21"/>
              </w:rPr>
              <w:t>6</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bCs/>
                <w:szCs w:val="21"/>
              </w:rPr>
            </w:pPr>
            <w:r>
              <w:rPr>
                <w:rFonts w:hint="eastAsia" w:ascii="仿宋" w:hAnsi="仿宋" w:eastAsia="仿宋"/>
                <w:bCs/>
                <w:szCs w:val="21"/>
              </w:rPr>
              <w:t>8</w:t>
            </w:r>
          </w:p>
        </w:tc>
      </w:tr>
    </w:tbl>
    <w:p/>
    <w:p>
      <w:pPr>
        <w:pStyle w:val="2"/>
        <w:ind w:firstLine="643"/>
      </w:pPr>
      <w:bookmarkStart w:id="85" w:name="_Toc164347864"/>
      <w:r>
        <w:rPr>
          <w:rFonts w:hint="eastAsia"/>
        </w:rPr>
        <w:t>四、经费预算</w:t>
      </w:r>
      <w:bookmarkEnd w:id="85"/>
    </w:p>
    <w:p>
      <w:pPr>
        <w:spacing w:line="560" w:lineRule="exact"/>
        <w:ind w:firstLine="560" w:firstLineChars="200"/>
        <w:rPr>
          <w:rFonts w:ascii="仿宋" w:hAnsi="仿宋" w:eastAsia="仿宋" w:cs="仿宋"/>
          <w:sz w:val="28"/>
          <w:szCs w:val="28"/>
        </w:rPr>
      </w:pPr>
      <w:bookmarkStart w:id="86" w:name="_Toc19485"/>
      <w:bookmarkStart w:id="87" w:name="_Toc21884"/>
      <w:r>
        <w:rPr>
          <w:rFonts w:hint="eastAsia" w:ascii="仿宋" w:hAnsi="仿宋" w:eastAsia="仿宋" w:cs="仿宋"/>
          <w:sz w:val="28"/>
          <w:szCs w:val="28"/>
        </w:rPr>
        <w:t>学校“创新强校工程”（2023-2025）建设经费包括地方财政资金、行业企业支持和学校自筹三部分。学校将行业、企业全方位深度参与作为转型发展的路径和推动力，积极争取企业的经费，吸纳企业资金，预计3年总投入2.4763亿元，其中各级财政投入1.4859亿，占比60%；行业企业支持4952万元，占比20%；学校自筹4952万元，占比20%。</w:t>
      </w:r>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按照规划，2023年预计投入4413万元，2024年预计投入8838万元，2025年投入11512万元。</w:t>
      </w:r>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具体分项目经费支出预算见附表：高等职业教育“创新强校工程”（2023—2025年）项目规划表。</w:t>
      </w:r>
    </w:p>
    <w:bookmarkEnd w:id="86"/>
    <w:bookmarkEnd w:id="87"/>
    <w:p>
      <w:pPr>
        <w:pStyle w:val="2"/>
        <w:ind w:firstLine="643"/>
      </w:pPr>
      <w:bookmarkStart w:id="88" w:name="_Toc164347865"/>
      <w:r>
        <w:rPr>
          <w:rFonts w:hint="eastAsia"/>
        </w:rPr>
        <w:t>五、预期成效</w:t>
      </w:r>
      <w:bookmarkEnd w:id="88"/>
    </w:p>
    <w:p>
      <w:pPr>
        <w:pStyle w:val="15"/>
        <w:spacing w:after="0"/>
        <w:ind w:firstLine="560"/>
        <w:rPr>
          <w:bCs w:val="0"/>
          <w:sz w:val="28"/>
          <w:szCs w:val="28"/>
        </w:rPr>
      </w:pPr>
      <w:bookmarkStart w:id="89" w:name="_Toc18656"/>
      <w:r>
        <w:rPr>
          <w:rFonts w:hint="eastAsia"/>
          <w:bCs w:val="0"/>
          <w:sz w:val="28"/>
          <w:szCs w:val="28"/>
        </w:rPr>
        <w:t>经过3年建设，学校在设施设备、校内外实训基地、专业群和专业、师资队伍、校园文化等方面的建设将取得明显成效，学校办学水平整体提升，社会服务能力将显著增强。</w:t>
      </w:r>
    </w:p>
    <w:p>
      <w:pPr>
        <w:pStyle w:val="23"/>
        <w:spacing w:line="540" w:lineRule="exact"/>
        <w:ind w:firstLine="562"/>
        <w:rPr>
          <w:rFonts w:ascii="仿宋" w:hAnsi="仿宋" w:eastAsia="仿宋"/>
          <w:b/>
          <w:bCs/>
          <w:sz w:val="28"/>
          <w:szCs w:val="28"/>
        </w:rPr>
      </w:pPr>
      <w:r>
        <w:rPr>
          <w:rFonts w:hint="eastAsia" w:ascii="仿宋" w:hAnsi="仿宋" w:eastAsia="仿宋"/>
          <w:b/>
          <w:bCs/>
          <w:sz w:val="28"/>
          <w:szCs w:val="28"/>
        </w:rPr>
        <w:t>——将学校建成粤港澳大湾区电子信息产业技术技能人才培养高地</w:t>
      </w:r>
    </w:p>
    <w:p>
      <w:pPr>
        <w:pStyle w:val="23"/>
        <w:spacing w:line="540" w:lineRule="exact"/>
        <w:ind w:firstLine="560"/>
        <w:rPr>
          <w:rFonts w:ascii="仿宋" w:hAnsi="仿宋" w:eastAsia="仿宋"/>
          <w:sz w:val="28"/>
          <w:szCs w:val="28"/>
        </w:rPr>
      </w:pPr>
      <w:r>
        <w:rPr>
          <w:rFonts w:hint="eastAsia" w:ascii="仿宋" w:hAnsi="仿宋" w:eastAsia="仿宋"/>
          <w:bCs/>
          <w:sz w:val="28"/>
          <w:szCs w:val="28"/>
        </w:rPr>
        <w:t>探索“五教融通，四色合一”的人才培养模式。</w:t>
      </w:r>
      <w:r>
        <w:rPr>
          <w:rFonts w:hint="eastAsia" w:ascii="仿宋" w:hAnsi="仿宋" w:eastAsia="仿宋"/>
          <w:sz w:val="28"/>
          <w:szCs w:val="28"/>
        </w:rPr>
        <w:t>校企共聘共用“懂生产、会教学”教师团队，开发“真项目、活知识”的教学资源，共建“真实车间、移动黑板”教学场所，实施“真产品、分模块”的教学方法与设计，融入“职业素养、教育规范”的教学设计。深度融合企业资源，使每位学生都具有“德技并修、注重劳动”的红色品质，“工学结合，注重专业能力”的蓝色本领，“考取证书，可持续发展”的绿色证书，“精准对接、稳定长久”的金色就业。依托TCL王牌电子信息学院和“应电+智能”创新团队，建立技能大师工作室1间、博士工作站3间以及名师工作室3间，充分发挥校企合作优势，促进智能终端技术创新，共同培育一批智能终端创新应用技术型人才。搭建智能终端产品交流平台，建成具有行业权威、国际影响的人才汇聚高地。</w:t>
      </w:r>
    </w:p>
    <w:p>
      <w:pPr>
        <w:pStyle w:val="23"/>
        <w:spacing w:line="540" w:lineRule="exact"/>
        <w:ind w:firstLine="562"/>
        <w:rPr>
          <w:rFonts w:ascii="仿宋" w:hAnsi="仿宋" w:eastAsia="仿宋"/>
          <w:b/>
          <w:sz w:val="28"/>
          <w:szCs w:val="28"/>
        </w:rPr>
      </w:pPr>
      <w:r>
        <w:rPr>
          <w:rFonts w:hint="eastAsia" w:ascii="仿宋" w:hAnsi="仿宋" w:eastAsia="仿宋"/>
          <w:b/>
          <w:bCs/>
          <w:sz w:val="28"/>
          <w:szCs w:val="28"/>
        </w:rPr>
        <w:t>——</w:t>
      </w:r>
      <w:bookmarkStart w:id="90" w:name="_Hlk88404760"/>
      <w:r>
        <w:rPr>
          <w:rFonts w:hint="eastAsia" w:ascii="仿宋" w:hAnsi="仿宋" w:eastAsia="仿宋"/>
          <w:b/>
          <w:bCs/>
          <w:sz w:val="28"/>
          <w:szCs w:val="28"/>
        </w:rPr>
        <w:t>将学校建成粤港澳大湾区产教融合示范基地</w:t>
      </w:r>
      <w:bookmarkEnd w:id="90"/>
    </w:p>
    <w:p>
      <w:pPr>
        <w:pStyle w:val="23"/>
        <w:spacing w:line="540" w:lineRule="exact"/>
        <w:ind w:firstLine="560"/>
        <w:rPr>
          <w:rFonts w:ascii="仿宋" w:hAnsi="仿宋" w:eastAsia="仿宋"/>
          <w:sz w:val="28"/>
          <w:szCs w:val="28"/>
        </w:rPr>
      </w:pPr>
      <w:r>
        <w:rPr>
          <w:rFonts w:hint="eastAsia" w:ascii="仿宋" w:hAnsi="仿宋" w:eastAsia="仿宋"/>
          <w:sz w:val="28"/>
          <w:szCs w:val="28"/>
        </w:rPr>
        <w:t>以产教融合为主线，依托高水平专业群建设，无缝对接新兴产业发展需求，以学院为主导，以行业骨干企业为支撑，以专业建设为基础，以人才培养为根本，以师资队伍为保障，深化校企合作深度，大力改善学院办学条件，全面优化学院办学基本面，推动学院内涵式发展，加快构建校企命运共同体。依托高水平产教融合平台，打造“双师型”教师企业实践流动站，培育校外实训基地，鼓励企业积极参与专业共建，促进校企人才对流，培育一批高水平校企专业带头人，优化完善专业教师到企业定期实践锻炼常态化机制，培养更多高素质技术技能人才、能工巧匠、大国工匠。</w:t>
      </w:r>
    </w:p>
    <w:p>
      <w:pPr>
        <w:pStyle w:val="23"/>
        <w:spacing w:line="540" w:lineRule="exact"/>
        <w:ind w:firstLine="562"/>
        <w:rPr>
          <w:rFonts w:ascii="仿宋" w:hAnsi="仿宋" w:eastAsia="仿宋"/>
          <w:b/>
          <w:bCs/>
          <w:sz w:val="28"/>
          <w:szCs w:val="28"/>
        </w:rPr>
      </w:pPr>
      <w:r>
        <w:rPr>
          <w:rFonts w:hint="eastAsia" w:ascii="仿宋" w:hAnsi="仿宋" w:eastAsia="仿宋"/>
          <w:b/>
          <w:bCs/>
          <w:sz w:val="28"/>
          <w:szCs w:val="28"/>
        </w:rPr>
        <w:t>——将学校建成粤港澳大湾区科研社会服务高地</w:t>
      </w:r>
    </w:p>
    <w:p>
      <w:pPr>
        <w:pStyle w:val="23"/>
        <w:spacing w:line="540" w:lineRule="exact"/>
        <w:ind w:firstLine="560"/>
        <w:rPr>
          <w:rFonts w:ascii="仿宋" w:hAnsi="仿宋" w:eastAsia="仿宋"/>
          <w:sz w:val="28"/>
          <w:szCs w:val="28"/>
        </w:rPr>
      </w:pPr>
      <w:r>
        <w:rPr>
          <w:rFonts w:hint="eastAsia" w:ascii="仿宋" w:hAnsi="仿宋" w:eastAsia="仿宋"/>
          <w:sz w:val="28"/>
          <w:szCs w:val="28"/>
        </w:rPr>
        <w:t>面向粤港澳大湾区高端产业和产业高端发展，根据经济、社会和自身发展需求，以平台管理为主线，项目管理为牵引，团队建设为保障，着力培育科技创新服务主体、整合科技创新服务资源、建立科技创新服务机制、完善科技创新服务手段、提升科技创新服务能力。通过建立功能较为完善的技术创新平台、产教融合平台和技术技能平台</w:t>
      </w:r>
      <w:r>
        <w:rPr>
          <w:rFonts w:hint="eastAsia" w:ascii="仿宋" w:hAnsi="仿宋" w:eastAsia="仿宋" w:cs="仿宋"/>
          <w:sz w:val="28"/>
          <w:szCs w:val="28"/>
        </w:rPr>
        <w:t></w:t>
      </w:r>
      <w:r>
        <w:rPr>
          <w:rFonts w:hint="eastAsia" w:ascii="仿宋" w:hAnsi="仿宋" w:eastAsia="仿宋"/>
          <w:sz w:val="28"/>
          <w:szCs w:val="28"/>
        </w:rPr>
        <w:t>沟通企业、农民与科研院所、高等院校以及地方政府之间的联系，通过共同研发、技术咨询、技术指导等服务形式，实现科技创新资源与产业、企业和农村需求的有效对接，构建基于服务企业自主创新、产业集聚发展和新农村建设的技术、信息、市场、人才、知识、政策、管理一体化现代科技创新服务模式。</w:t>
      </w:r>
    </w:p>
    <w:bookmarkEnd w:id="89"/>
    <w:p>
      <w:pPr>
        <w:pStyle w:val="2"/>
        <w:ind w:firstLine="643"/>
      </w:pPr>
      <w:bookmarkStart w:id="91" w:name="_Toc164347866"/>
      <w:r>
        <w:rPr>
          <w:rFonts w:hint="eastAsia"/>
        </w:rPr>
        <w:t>六、保障措施</w:t>
      </w:r>
      <w:bookmarkEnd w:id="91"/>
    </w:p>
    <w:p>
      <w:pPr>
        <w:pStyle w:val="3"/>
        <w:ind w:firstLine="643"/>
      </w:pPr>
      <w:bookmarkStart w:id="92" w:name="_Toc27548"/>
      <w:bookmarkStart w:id="93" w:name="_Toc164347867"/>
      <w:bookmarkStart w:id="94" w:name="_Toc1126"/>
      <w:r>
        <w:rPr>
          <w:rFonts w:hint="eastAsia"/>
        </w:rPr>
        <w:t>（一）组织保障</w:t>
      </w:r>
      <w:bookmarkEnd w:id="92"/>
      <w:bookmarkEnd w:id="93"/>
      <w:bookmarkEnd w:id="94"/>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学校党委在“创新强校工程”建设中把方向、管大局、作决策、保落实，整合各方资源，加速推进高水平职业院校建设。组建规划建设、人才引育、产教融合、体制机制、评估评价、基础保障等工作组，按照规划方案的要求制定专项工作方案，统筹推进规划编制、论证、咨询、实施，按年度分解目标任务，确保建设取得成效。成立专家咨询委员会，邀请知名专家、政府有关部门负责人、企业行业高管等为咨询专家，为建设高水平高职学校提供决策支持。</w:t>
      </w:r>
    </w:p>
    <w:p>
      <w:pPr>
        <w:pStyle w:val="3"/>
        <w:ind w:firstLine="643"/>
      </w:pPr>
      <w:bookmarkStart w:id="95" w:name="_Toc15392"/>
      <w:bookmarkStart w:id="96" w:name="_Toc22090"/>
      <w:bookmarkStart w:id="97" w:name="_Toc22018"/>
      <w:bookmarkStart w:id="98" w:name="_Toc164347868"/>
      <w:r>
        <w:rPr>
          <w:rFonts w:hint="eastAsia"/>
        </w:rPr>
        <w:t>（二）加强项目实施管理</w:t>
      </w:r>
      <w:bookmarkEnd w:id="95"/>
      <w:bookmarkEnd w:id="96"/>
      <w:bookmarkEnd w:id="97"/>
      <w:bookmarkEnd w:id="98"/>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按照规划方案要求，细化目标任务，明确路径和时间节点，明确责任单位、责任人及完成时限，实施挂图作战。建立健全实施、评价、反馈、完善全流程项目管理机制。</w:t>
      </w:r>
    </w:p>
    <w:p>
      <w:pPr>
        <w:pStyle w:val="3"/>
        <w:ind w:firstLine="643"/>
      </w:pPr>
      <w:bookmarkStart w:id="99" w:name="_Toc30275"/>
      <w:bookmarkStart w:id="100" w:name="_Toc164347869"/>
      <w:bookmarkStart w:id="101" w:name="_Toc11426"/>
      <w:bookmarkStart w:id="102" w:name="_Toc16175"/>
      <w:r>
        <w:rPr>
          <w:rFonts w:hint="eastAsia"/>
        </w:rPr>
        <w:t>（三）健全多元投入机制</w:t>
      </w:r>
      <w:bookmarkEnd w:id="99"/>
      <w:bookmarkEnd w:id="100"/>
      <w:bookmarkEnd w:id="101"/>
      <w:bookmarkEnd w:id="102"/>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学校“创新强校工程”建设资金主要来源是，市财政资金，学校自筹和行业企业三</w:t>
      </w:r>
      <w:r>
        <w:rPr>
          <w:rFonts w:hint="eastAsia" w:ascii="仿宋" w:hAnsi="仿宋" w:eastAsia="仿宋" w:cs="仿宋"/>
          <w:sz w:val="28"/>
          <w:szCs w:val="28"/>
          <w:lang w:val="en-US" w:eastAsia="zh-CN"/>
        </w:rPr>
        <w:t>方</w:t>
      </w:r>
      <w:r>
        <w:rPr>
          <w:rFonts w:hint="eastAsia" w:ascii="仿宋" w:hAnsi="仿宋" w:eastAsia="仿宋" w:cs="仿宋"/>
          <w:sz w:val="28"/>
          <w:szCs w:val="28"/>
        </w:rPr>
        <w:t>投入，同时力争获得更多的国家、省、市科技经费投入、地方政府和企业横向项目经费投入以及校友助学捐赠。依托技术技能创新服务平台，多渠道引入产业资本等，对技术研发、社会培训、成果产业化等给予资金支持。</w:t>
      </w:r>
    </w:p>
    <w:p>
      <w:pPr>
        <w:pStyle w:val="3"/>
        <w:ind w:firstLine="643"/>
      </w:pPr>
      <w:bookmarkStart w:id="103" w:name="_Toc11996"/>
      <w:bookmarkStart w:id="104" w:name="_Toc164347870"/>
      <w:bookmarkStart w:id="105" w:name="_Toc2737"/>
      <w:bookmarkStart w:id="106" w:name="_Toc27994"/>
      <w:r>
        <w:rPr>
          <w:rFonts w:hint="eastAsia"/>
        </w:rPr>
        <w:t>（四）强化基础设施保障</w:t>
      </w:r>
      <w:bookmarkEnd w:id="103"/>
      <w:bookmarkEnd w:id="104"/>
      <w:bookmarkEnd w:id="105"/>
      <w:bookmarkEnd w:id="106"/>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加快绿色校园建设，推进校企改制和校园经营服务改革，优化校园功能布局，构建与高水平高职学校建设相匹配的基础设施体系、仪器设备体系、智慧校园体系、图书文献资源体系、安全保障体系、后勤服务保障体系，满足教学科研和人才培养的需要，为建设高水平高职学校提供一流的基础保障。</w:t>
      </w:r>
    </w:p>
    <w:p>
      <w:pPr>
        <w:pStyle w:val="3"/>
        <w:ind w:firstLine="643"/>
      </w:pPr>
      <w:bookmarkStart w:id="107" w:name="_Toc1128"/>
      <w:bookmarkStart w:id="108" w:name="_Toc31555"/>
      <w:bookmarkStart w:id="109" w:name="_Toc14772"/>
      <w:bookmarkStart w:id="110" w:name="_Toc164347871"/>
      <w:r>
        <w:rPr>
          <w:rFonts w:hint="eastAsia"/>
        </w:rPr>
        <w:t>（五）优化改革发展环境</w:t>
      </w:r>
      <w:bookmarkEnd w:id="107"/>
      <w:bookmarkEnd w:id="108"/>
      <w:bookmarkEnd w:id="109"/>
      <w:bookmarkEnd w:id="110"/>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建立二级学院、教师和干部两个队伍“创新强校”考核机制，加大考核结果与提拔晋升、员额编制核定、职称评定、聘任、晋级、绩效奖励等方面挂钩的力度。建立竞争与退出机制，对建设工作推进不力、建设效益不明显的，根据实际情况对主要负责人和相关责任人进行问责。建立健全改革创新容错纠错机制，激发和保护教职员工的积极性、创造性。</w:t>
      </w:r>
    </w:p>
    <w:p>
      <w:pPr>
        <w:pStyle w:val="3"/>
        <w:ind w:firstLine="643"/>
      </w:pPr>
      <w:bookmarkStart w:id="111" w:name="_Toc20331"/>
      <w:bookmarkStart w:id="112" w:name="_Toc164347872"/>
      <w:bookmarkStart w:id="113" w:name="_Toc23001"/>
      <w:r>
        <w:rPr>
          <w:rFonts w:hint="eastAsia"/>
        </w:rPr>
        <w:t>（六）经费保障</w:t>
      </w:r>
      <w:bookmarkEnd w:id="111"/>
      <w:bookmarkEnd w:id="112"/>
      <w:bookmarkEnd w:id="113"/>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积极采取多项措施保障教育经费：一是积极争取申请省级以上各项专项建设资金，如质量工程、省级高水平专业群等专项建设资金；二是向市政府争取提高财政生均经费拨款水平，提高学校财政生均拨款总额；三是积极拓展学校办学的其他领域增加办学收入，通过积极开展联合办学、开设学历教育以外的培训班、校企合作生产等方式拓宽资金来源；四是加强自身科研实力，通过科技转化和产学研合作成果转化为资金来源。</w:t>
      </w:r>
    </w:p>
    <w:p>
      <w:pPr>
        <w:keepNext/>
        <w:keepLines/>
        <w:spacing w:line="360" w:lineRule="auto"/>
        <w:rPr>
          <w:rFonts w:ascii="宋体" w:hAnsi="宋体" w:eastAsia="黑体" w:cs="宋体"/>
          <w:bCs/>
          <w:color w:val="000000"/>
          <w:kern w:val="44"/>
          <w:sz w:val="32"/>
          <w:szCs w:val="44"/>
        </w:rPr>
        <w:sectPr>
          <w:footerReference r:id="rId5" w:type="default"/>
          <w:pgSz w:w="11906" w:h="16838"/>
          <w:pgMar w:top="1440" w:right="1800" w:bottom="1440" w:left="1800" w:header="851" w:footer="992" w:gutter="0"/>
          <w:pgNumType w:start="1"/>
          <w:cols w:space="425" w:num="1"/>
          <w:docGrid w:type="lines" w:linePitch="312" w:charSpace="0"/>
        </w:sectPr>
      </w:pPr>
      <w:bookmarkStart w:id="114" w:name="_Toc31143"/>
      <w:bookmarkStart w:id="115" w:name="_Toc28478852"/>
    </w:p>
    <w:p>
      <w:pPr>
        <w:pStyle w:val="23"/>
        <w:spacing w:line="540" w:lineRule="exact"/>
        <w:ind w:firstLine="640"/>
        <w:outlineLvl w:val="0"/>
        <w:rPr>
          <w:rFonts w:ascii="黑体" w:hAnsi="黑体" w:eastAsia="黑体" w:cs="黑体"/>
          <w:bCs/>
          <w:sz w:val="32"/>
          <w:szCs w:val="32"/>
        </w:rPr>
      </w:pPr>
      <w:bookmarkStart w:id="116" w:name="_Toc164347873"/>
      <w:r>
        <w:rPr>
          <w:rFonts w:hint="eastAsia" w:eastAsia="黑体"/>
          <w:bCs/>
          <w:kern w:val="44"/>
          <w:sz w:val="32"/>
          <w:szCs w:val="44"/>
        </w:rPr>
        <w:t>七、附表</w:t>
      </w:r>
      <w:bookmarkEnd w:id="114"/>
      <w:bookmarkEnd w:id="115"/>
      <w:bookmarkEnd w:id="116"/>
    </w:p>
    <w:p>
      <w:pPr>
        <w:jc w:val="center"/>
        <w:rPr>
          <w:rFonts w:ascii="黑体" w:hAnsi="黑体" w:eastAsia="黑体" w:cs="Times New Roman"/>
          <w:color w:val="000000"/>
          <w:szCs w:val="32"/>
        </w:rPr>
      </w:pPr>
      <w:bookmarkStart w:id="117" w:name="_Toc6947"/>
      <w:bookmarkStart w:id="118" w:name="_Toc29645"/>
      <w:r>
        <w:rPr>
          <w:rFonts w:hint="eastAsia" w:ascii="黑体" w:hAnsi="黑体" w:eastAsia="黑体" w:cs="黑体"/>
          <w:sz w:val="32"/>
          <w:szCs w:val="36"/>
        </w:rPr>
        <w:t>高等职业教育“创新强校工程”（2023—2025年）项目规划表</w:t>
      </w:r>
      <w:bookmarkEnd w:id="117"/>
      <w:bookmarkEnd w:id="118"/>
    </w:p>
    <w:p>
      <w:pPr>
        <w:widowControl/>
        <w:snapToGrid w:val="0"/>
        <w:spacing w:line="360" w:lineRule="auto"/>
        <w:ind w:firstLine="420" w:firstLineChars="200"/>
        <w:jc w:val="left"/>
        <w:rPr>
          <w:rFonts w:ascii="黑体" w:hAnsi="黑体" w:eastAsia="黑体" w:cs="宋体"/>
          <w:color w:val="000000"/>
          <w:kern w:val="0"/>
          <w:szCs w:val="21"/>
        </w:rPr>
      </w:pPr>
      <w:r>
        <w:rPr>
          <w:rFonts w:hint="eastAsia" w:ascii="黑体" w:hAnsi="黑体" w:eastAsia="黑体" w:cs="宋体"/>
          <w:color w:val="000000"/>
          <w:kern w:val="0"/>
          <w:szCs w:val="21"/>
        </w:rPr>
        <w:t xml:space="preserve">学校名称：惠州工程职业学院（盖章）           </w:t>
      </w:r>
    </w:p>
    <w:p>
      <w:pPr>
        <w:widowControl/>
        <w:snapToGrid w:val="0"/>
        <w:spacing w:line="360" w:lineRule="auto"/>
        <w:ind w:firstLine="420" w:firstLineChars="200"/>
        <w:jc w:val="left"/>
        <w:rPr>
          <w:rFonts w:ascii="宋体" w:hAnsi="宋体" w:eastAsia="宋体" w:cs="宋体"/>
          <w:color w:val="000000"/>
          <w:kern w:val="0"/>
          <w:szCs w:val="21"/>
        </w:rPr>
      </w:pPr>
      <w:r>
        <w:rPr>
          <w:rFonts w:hint="eastAsia" w:ascii="黑体" w:hAnsi="黑体" w:eastAsia="黑体" w:cs="宋体"/>
          <w:color w:val="000000"/>
          <w:kern w:val="0"/>
          <w:szCs w:val="21"/>
        </w:rPr>
        <w:t>规划类别：</w:t>
      </w:r>
      <w:r>
        <w:rPr>
          <w:rFonts w:hint="eastAsia" w:ascii="黑体" w:hAnsi="黑体" w:eastAsia="黑体" w:cs="仿宋"/>
          <w:color w:val="000000"/>
          <w:szCs w:val="21"/>
        </w:rPr>
        <w:t>A类规划□   B类规划☑   C类规划□</w:t>
      </w:r>
      <w:r>
        <w:rPr>
          <w:rFonts w:hint="eastAsia" w:ascii="宋体" w:hAnsi="宋体" w:eastAsia="宋体" w:cs="宋体"/>
          <w:color w:val="000000"/>
          <w:kern w:val="0"/>
          <w:szCs w:val="21"/>
        </w:rPr>
        <w:t xml:space="preserve">                             </w:t>
      </w:r>
      <w:r>
        <w:rPr>
          <w:rFonts w:hint="eastAsia" w:ascii="宋体" w:hAnsi="宋体" w:eastAsia="宋体" w:cs="宋体"/>
          <w:color w:val="000000"/>
          <w:kern w:val="0"/>
          <w:szCs w:val="21"/>
        </w:rPr>
        <w:tab/>
      </w:r>
      <w:r>
        <w:rPr>
          <w:rFonts w:hint="eastAsia" w:ascii="宋体" w:hAnsi="宋体" w:eastAsia="宋体" w:cs="宋体"/>
          <w:color w:val="000000"/>
          <w:kern w:val="0"/>
          <w:szCs w:val="21"/>
        </w:rPr>
        <w:tab/>
      </w:r>
      <w:r>
        <w:rPr>
          <w:rFonts w:hint="eastAsia" w:ascii="宋体" w:hAnsi="宋体" w:eastAsia="宋体" w:cs="宋体"/>
          <w:color w:val="000000"/>
          <w:kern w:val="0"/>
          <w:szCs w:val="21"/>
        </w:rPr>
        <w:tab/>
      </w:r>
      <w:r>
        <w:rPr>
          <w:rFonts w:hint="eastAsia" w:ascii="宋体" w:hAnsi="宋体" w:eastAsia="宋体" w:cs="宋体"/>
          <w:color w:val="000000"/>
          <w:kern w:val="0"/>
          <w:szCs w:val="21"/>
        </w:rPr>
        <w:tab/>
      </w:r>
      <w:r>
        <w:rPr>
          <w:rFonts w:hint="eastAsia" w:ascii="宋体" w:hAnsi="宋体" w:eastAsia="宋体" w:cs="宋体"/>
          <w:color w:val="000000"/>
          <w:kern w:val="0"/>
          <w:szCs w:val="21"/>
        </w:rPr>
        <w:tab/>
      </w:r>
      <w:r>
        <w:rPr>
          <w:rFonts w:hint="eastAsia" w:ascii="宋体" w:hAnsi="宋体" w:eastAsia="宋体" w:cs="宋体"/>
          <w:color w:val="000000"/>
          <w:kern w:val="0"/>
          <w:szCs w:val="21"/>
        </w:rPr>
        <w:tab/>
      </w:r>
      <w:r>
        <w:rPr>
          <w:rFonts w:hint="eastAsia" w:ascii="宋体" w:hAnsi="宋体" w:eastAsia="宋体" w:cs="宋体"/>
          <w:color w:val="000000"/>
          <w:kern w:val="0"/>
          <w:szCs w:val="21"/>
        </w:rPr>
        <w:tab/>
      </w:r>
      <w:r>
        <w:rPr>
          <w:rFonts w:hint="eastAsia" w:ascii="宋体" w:hAnsi="宋体" w:eastAsia="宋体" w:cs="宋体"/>
          <w:color w:val="000000"/>
          <w:kern w:val="0"/>
          <w:szCs w:val="21"/>
        </w:rPr>
        <w:tab/>
      </w:r>
      <w:r>
        <w:rPr>
          <w:rFonts w:hint="eastAsia" w:ascii="宋体" w:hAnsi="宋体" w:eastAsia="宋体" w:cs="宋体"/>
          <w:color w:val="000000"/>
          <w:kern w:val="0"/>
          <w:szCs w:val="21"/>
        </w:rPr>
        <w:tab/>
      </w:r>
      <w:r>
        <w:rPr>
          <w:rFonts w:hint="eastAsia" w:ascii="宋体" w:hAnsi="宋体" w:eastAsia="宋体" w:cs="宋体"/>
          <w:color w:val="000000"/>
          <w:kern w:val="0"/>
          <w:szCs w:val="21"/>
        </w:rPr>
        <w:tab/>
      </w:r>
      <w:r>
        <w:rPr>
          <w:rFonts w:hint="eastAsia" w:ascii="宋体" w:hAnsi="宋体" w:eastAsia="宋体" w:cs="宋体"/>
          <w:color w:val="000000"/>
          <w:kern w:val="0"/>
          <w:szCs w:val="21"/>
        </w:rPr>
        <w:tab/>
      </w:r>
      <w:r>
        <w:rPr>
          <w:rFonts w:hint="eastAsia" w:ascii="宋体" w:hAnsi="宋体" w:eastAsia="宋体" w:cs="宋体"/>
          <w:color w:val="000000"/>
          <w:kern w:val="0"/>
          <w:szCs w:val="21"/>
        </w:rPr>
        <w:tab/>
      </w:r>
      <w:r>
        <w:rPr>
          <w:rFonts w:hint="eastAsia" w:ascii="宋体" w:hAnsi="宋体" w:eastAsia="宋体" w:cs="宋体"/>
          <w:color w:val="000000"/>
          <w:kern w:val="0"/>
          <w:szCs w:val="21"/>
        </w:rPr>
        <w:tab/>
      </w:r>
      <w:r>
        <w:rPr>
          <w:rFonts w:hint="eastAsia" w:ascii="宋体" w:hAnsi="宋体" w:eastAsia="宋体" w:cs="宋体"/>
          <w:color w:val="000000"/>
          <w:kern w:val="0"/>
          <w:szCs w:val="21"/>
        </w:rPr>
        <w:tab/>
      </w:r>
    </w:p>
    <w:tbl>
      <w:tblPr>
        <w:tblStyle w:val="16"/>
        <w:tblW w:w="14335" w:type="dxa"/>
        <w:jc w:val="center"/>
        <w:tblLayout w:type="fixed"/>
        <w:tblCellMar>
          <w:top w:w="15" w:type="dxa"/>
          <w:left w:w="15" w:type="dxa"/>
          <w:bottom w:w="15" w:type="dxa"/>
          <w:right w:w="15" w:type="dxa"/>
        </w:tblCellMar>
      </w:tblPr>
      <w:tblGrid>
        <w:gridCol w:w="311"/>
        <w:gridCol w:w="953"/>
        <w:gridCol w:w="1380"/>
        <w:gridCol w:w="4449"/>
        <w:gridCol w:w="4370"/>
        <w:gridCol w:w="480"/>
        <w:gridCol w:w="12"/>
        <w:gridCol w:w="648"/>
        <w:gridCol w:w="576"/>
        <w:gridCol w:w="576"/>
        <w:gridCol w:w="580"/>
      </w:tblGrid>
      <w:tr>
        <w:tblPrEx>
          <w:tblCellMar>
            <w:top w:w="15" w:type="dxa"/>
            <w:left w:w="15" w:type="dxa"/>
            <w:bottom w:w="15" w:type="dxa"/>
            <w:right w:w="15" w:type="dxa"/>
          </w:tblCellMar>
        </w:tblPrEx>
        <w:trPr>
          <w:trHeight w:val="301" w:hRule="atLeast"/>
          <w:jc w:val="center"/>
        </w:trPr>
        <w:tc>
          <w:tcPr>
            <w:tcW w:w="311"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lang w:bidi="ar"/>
              </w:rPr>
              <w:t>序号</w:t>
            </w:r>
          </w:p>
        </w:tc>
        <w:tc>
          <w:tcPr>
            <w:tcW w:w="953"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lang w:bidi="ar"/>
              </w:rPr>
              <w:t>项目名称</w:t>
            </w:r>
          </w:p>
        </w:tc>
        <w:tc>
          <w:tcPr>
            <w:tcW w:w="1380"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lang w:bidi="ar"/>
              </w:rPr>
              <w:t>建设起止时间</w:t>
            </w:r>
          </w:p>
        </w:tc>
        <w:tc>
          <w:tcPr>
            <w:tcW w:w="4449"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lang w:bidi="ar"/>
              </w:rPr>
              <w:t>主要建设内容</w:t>
            </w:r>
          </w:p>
        </w:tc>
        <w:tc>
          <w:tcPr>
            <w:tcW w:w="4370"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lang w:bidi="ar"/>
              </w:rPr>
              <w:t>预期建设成效</w:t>
            </w:r>
          </w:p>
        </w:tc>
        <w:tc>
          <w:tcPr>
            <w:tcW w:w="2292" w:type="dxa"/>
            <w:gridSpan w:val="5"/>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lang w:bidi="ar"/>
              </w:rPr>
              <w:t>建设资金安排表（万元）</w:t>
            </w:r>
          </w:p>
        </w:tc>
        <w:tc>
          <w:tcPr>
            <w:tcW w:w="580"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b/>
                <w:bCs/>
                <w:color w:val="000000"/>
                <w:kern w:val="0"/>
                <w:sz w:val="18"/>
                <w:szCs w:val="18"/>
                <w:lang w:bidi="ar"/>
              </w:rPr>
              <w:t>备注</w:t>
            </w:r>
          </w:p>
        </w:tc>
      </w:tr>
      <w:tr>
        <w:tblPrEx>
          <w:tblCellMar>
            <w:top w:w="15" w:type="dxa"/>
            <w:left w:w="15" w:type="dxa"/>
            <w:bottom w:w="15" w:type="dxa"/>
            <w:right w:w="15" w:type="dxa"/>
          </w:tblCellMar>
        </w:tblPrEx>
        <w:trPr>
          <w:trHeight w:val="286" w:hRule="atLeast"/>
          <w:jc w:val="center"/>
        </w:trPr>
        <w:tc>
          <w:tcPr>
            <w:tcW w:w="31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b/>
                <w:bCs/>
                <w:color w:val="000000"/>
                <w:sz w:val="18"/>
                <w:szCs w:val="18"/>
              </w:rPr>
            </w:pPr>
          </w:p>
        </w:tc>
        <w:tc>
          <w:tcPr>
            <w:tcW w:w="95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b/>
                <w:bCs/>
                <w:color w:val="000000"/>
                <w:sz w:val="18"/>
                <w:szCs w:val="18"/>
              </w:rPr>
            </w:pPr>
          </w:p>
        </w:tc>
        <w:tc>
          <w:tcPr>
            <w:tcW w:w="138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b/>
                <w:bCs/>
                <w:color w:val="000000"/>
                <w:sz w:val="18"/>
                <w:szCs w:val="18"/>
              </w:rPr>
            </w:pPr>
          </w:p>
        </w:tc>
        <w:tc>
          <w:tcPr>
            <w:tcW w:w="4449" w:type="dxa"/>
            <w:vMerge w:val="continue"/>
            <w:tcBorders>
              <w:top w:val="single" w:color="000000" w:sz="4" w:space="0"/>
              <w:left w:val="single" w:color="000000" w:sz="4" w:space="0"/>
              <w:bottom w:val="single" w:color="000000" w:sz="4" w:space="0"/>
              <w:right w:val="single" w:color="000000" w:sz="4" w:space="0"/>
            </w:tcBorders>
            <w:vAlign w:val="center"/>
          </w:tcPr>
          <w:p>
            <w:pPr>
              <w:rPr>
                <w:rFonts w:ascii="宋体" w:hAnsi="宋体" w:eastAsia="宋体" w:cs="宋体"/>
                <w:b/>
                <w:bCs/>
                <w:color w:val="000000"/>
                <w:sz w:val="18"/>
                <w:szCs w:val="18"/>
              </w:rPr>
            </w:pPr>
          </w:p>
        </w:tc>
        <w:tc>
          <w:tcPr>
            <w:tcW w:w="4370" w:type="dxa"/>
            <w:vMerge w:val="continue"/>
            <w:tcBorders>
              <w:top w:val="single" w:color="000000" w:sz="4" w:space="0"/>
              <w:left w:val="single" w:color="000000" w:sz="4" w:space="0"/>
              <w:bottom w:val="single" w:color="000000" w:sz="4" w:space="0"/>
              <w:right w:val="single" w:color="000000" w:sz="4" w:space="0"/>
            </w:tcBorders>
            <w:vAlign w:val="center"/>
          </w:tcPr>
          <w:p>
            <w:pPr>
              <w:rPr>
                <w:rFonts w:ascii="宋体" w:hAnsi="宋体" w:eastAsia="宋体" w:cs="宋体"/>
                <w:b/>
                <w:bCs/>
                <w:color w:val="000000"/>
                <w:sz w:val="18"/>
                <w:szCs w:val="18"/>
              </w:rPr>
            </w:pPr>
          </w:p>
        </w:tc>
        <w:tc>
          <w:tcPr>
            <w:tcW w:w="4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lang w:bidi="ar"/>
              </w:rPr>
              <w:t>小计</w:t>
            </w:r>
          </w:p>
        </w:tc>
        <w:tc>
          <w:tcPr>
            <w:tcW w:w="660"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2023</w:t>
            </w:r>
          </w:p>
          <w:p>
            <w:pPr>
              <w:widowControl/>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lang w:bidi="ar"/>
              </w:rPr>
              <w:t>年</w:t>
            </w:r>
          </w:p>
        </w:tc>
        <w:tc>
          <w:tcPr>
            <w:tcW w:w="5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lang w:bidi="ar"/>
              </w:rPr>
              <w:t>2024年</w:t>
            </w:r>
          </w:p>
        </w:tc>
        <w:tc>
          <w:tcPr>
            <w:tcW w:w="5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lang w:bidi="ar"/>
              </w:rPr>
              <w:t>2025年</w:t>
            </w:r>
          </w:p>
        </w:tc>
        <w:tc>
          <w:tcPr>
            <w:tcW w:w="58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18"/>
                <w:szCs w:val="18"/>
              </w:rPr>
            </w:pPr>
          </w:p>
        </w:tc>
      </w:tr>
      <w:tr>
        <w:tblPrEx>
          <w:tblCellMar>
            <w:top w:w="15" w:type="dxa"/>
            <w:left w:w="15" w:type="dxa"/>
            <w:bottom w:w="15" w:type="dxa"/>
            <w:right w:w="15" w:type="dxa"/>
          </w:tblCellMar>
        </w:tblPrEx>
        <w:trPr>
          <w:trHeight w:val="286" w:hRule="atLeast"/>
          <w:jc w:val="center"/>
        </w:trPr>
        <w:tc>
          <w:tcPr>
            <w:tcW w:w="31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18"/>
                <w:szCs w:val="18"/>
              </w:rPr>
            </w:pPr>
          </w:p>
        </w:tc>
        <w:tc>
          <w:tcPr>
            <w:tcW w:w="95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总计</w:t>
            </w:r>
          </w:p>
        </w:tc>
        <w:tc>
          <w:tcPr>
            <w:tcW w:w="138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color w:val="000000"/>
                <w:sz w:val="18"/>
                <w:szCs w:val="18"/>
              </w:rPr>
            </w:pPr>
            <w:r>
              <w:rPr>
                <w:rFonts w:hint="eastAsia" w:ascii="宋体" w:hAnsi="宋体" w:eastAsia="宋体" w:cs="宋体"/>
                <w:color w:val="000000"/>
                <w:sz w:val="18"/>
                <w:szCs w:val="18"/>
              </w:rPr>
              <w:t>2023/2025</w:t>
            </w:r>
          </w:p>
        </w:tc>
        <w:tc>
          <w:tcPr>
            <w:tcW w:w="4449"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w:t>
            </w:r>
          </w:p>
        </w:tc>
        <w:tc>
          <w:tcPr>
            <w:tcW w:w="4370"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w:t>
            </w:r>
          </w:p>
        </w:tc>
        <w:tc>
          <w:tcPr>
            <w:tcW w:w="48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24763</w:t>
            </w:r>
          </w:p>
        </w:tc>
        <w:tc>
          <w:tcPr>
            <w:tcW w:w="660" w:type="dxa"/>
            <w:gridSpan w:val="2"/>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4413</w:t>
            </w:r>
          </w:p>
        </w:tc>
        <w:tc>
          <w:tcPr>
            <w:tcW w:w="576"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8838</w:t>
            </w:r>
          </w:p>
        </w:tc>
        <w:tc>
          <w:tcPr>
            <w:tcW w:w="576"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11592</w:t>
            </w:r>
          </w:p>
        </w:tc>
        <w:tc>
          <w:tcPr>
            <w:tcW w:w="5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18"/>
                <w:szCs w:val="18"/>
              </w:rPr>
            </w:pPr>
          </w:p>
        </w:tc>
      </w:tr>
      <w:tr>
        <w:tblPrEx>
          <w:tblCellMar>
            <w:top w:w="15" w:type="dxa"/>
            <w:left w:w="15" w:type="dxa"/>
            <w:bottom w:w="15" w:type="dxa"/>
            <w:right w:w="15" w:type="dxa"/>
          </w:tblCellMar>
        </w:tblPrEx>
        <w:trPr>
          <w:trHeight w:val="450" w:hRule="atLeast"/>
          <w:jc w:val="center"/>
        </w:trPr>
        <w:tc>
          <w:tcPr>
            <w:tcW w:w="311"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p>
        </w:tc>
        <w:tc>
          <w:tcPr>
            <w:tcW w:w="953"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一、高质量党建引领学校高质量发展项目</w:t>
            </w:r>
          </w:p>
        </w:tc>
        <w:tc>
          <w:tcPr>
            <w:tcW w:w="138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2023.01-2024.12</w:t>
            </w:r>
          </w:p>
        </w:tc>
        <w:tc>
          <w:tcPr>
            <w:tcW w:w="4449"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w:t>
            </w:r>
          </w:p>
        </w:tc>
        <w:tc>
          <w:tcPr>
            <w:tcW w:w="437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w:t>
            </w:r>
          </w:p>
        </w:tc>
        <w:tc>
          <w:tcPr>
            <w:tcW w:w="492" w:type="dxa"/>
            <w:gridSpan w:val="2"/>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145</w:t>
            </w:r>
          </w:p>
        </w:tc>
        <w:tc>
          <w:tcPr>
            <w:tcW w:w="648"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45</w:t>
            </w:r>
          </w:p>
        </w:tc>
        <w:tc>
          <w:tcPr>
            <w:tcW w:w="576"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49</w:t>
            </w:r>
          </w:p>
        </w:tc>
        <w:tc>
          <w:tcPr>
            <w:tcW w:w="576"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51</w:t>
            </w:r>
          </w:p>
        </w:tc>
        <w:tc>
          <w:tcPr>
            <w:tcW w:w="58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p>
        </w:tc>
      </w:tr>
      <w:tr>
        <w:tblPrEx>
          <w:tblCellMar>
            <w:top w:w="15" w:type="dxa"/>
            <w:left w:w="15" w:type="dxa"/>
            <w:bottom w:w="15" w:type="dxa"/>
            <w:right w:w="15" w:type="dxa"/>
          </w:tblCellMar>
        </w:tblPrEx>
        <w:trPr>
          <w:trHeight w:val="450" w:hRule="atLeast"/>
          <w:jc w:val="center"/>
        </w:trPr>
        <w:tc>
          <w:tcPr>
            <w:tcW w:w="311"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1-1</w:t>
            </w:r>
          </w:p>
        </w:tc>
        <w:tc>
          <w:tcPr>
            <w:tcW w:w="953"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党建示范创优项目</w:t>
            </w:r>
          </w:p>
        </w:tc>
        <w:tc>
          <w:tcPr>
            <w:tcW w:w="138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2023.01-2025.12</w:t>
            </w:r>
          </w:p>
        </w:tc>
        <w:tc>
          <w:tcPr>
            <w:tcW w:w="4449"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bCs/>
                <w:color w:val="000000"/>
                <w:sz w:val="18"/>
                <w:szCs w:val="18"/>
              </w:rPr>
            </w:pPr>
            <w:r>
              <w:rPr>
                <w:rFonts w:ascii="Times New Roman" w:hAnsi="Times New Roman" w:eastAsia="宋体" w:cs="Times New Roman"/>
                <w:bCs/>
                <w:color w:val="000000"/>
                <w:sz w:val="18"/>
                <w:szCs w:val="18"/>
              </w:rPr>
              <w:t>在全校培育创建</w:t>
            </w:r>
            <w:r>
              <w:rPr>
                <w:rFonts w:hint="eastAsia" w:ascii="Times New Roman" w:hAnsi="Times New Roman" w:eastAsia="宋体" w:cs="Times New Roman"/>
                <w:bCs/>
                <w:color w:val="000000"/>
                <w:sz w:val="18"/>
                <w:szCs w:val="18"/>
              </w:rPr>
              <w:t>1所“党建工作示范高校”，</w:t>
            </w:r>
            <w:r>
              <w:rPr>
                <w:rFonts w:ascii="Times New Roman" w:hAnsi="Times New Roman" w:eastAsia="宋体" w:cs="Times New Roman"/>
                <w:bCs/>
                <w:color w:val="000000"/>
                <w:sz w:val="18"/>
                <w:szCs w:val="18"/>
              </w:rPr>
              <w:t>2个党建工作标杆院系，3个党建工作样板支部，5个以上党建创新工作案例，建设周期为两年。</w:t>
            </w:r>
          </w:p>
        </w:tc>
        <w:tc>
          <w:tcPr>
            <w:tcW w:w="437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bCs/>
                <w:color w:val="000000"/>
                <w:sz w:val="18"/>
                <w:szCs w:val="18"/>
              </w:rPr>
            </w:pPr>
            <w:r>
              <w:rPr>
                <w:rFonts w:ascii="Times New Roman" w:hAnsi="Times New Roman" w:eastAsia="宋体" w:cs="Times New Roman"/>
                <w:bCs/>
                <w:color w:val="000000"/>
                <w:sz w:val="18"/>
                <w:szCs w:val="18"/>
              </w:rPr>
              <w:t>推动党的建设与学校事业发展深度融合，使学校各级党组织全面进步、全面过硬，推动学校党建质量全面创优全面提升。</w:t>
            </w:r>
          </w:p>
        </w:tc>
        <w:tc>
          <w:tcPr>
            <w:tcW w:w="492" w:type="dxa"/>
            <w:gridSpan w:val="2"/>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60</w:t>
            </w:r>
          </w:p>
        </w:tc>
        <w:tc>
          <w:tcPr>
            <w:tcW w:w="648"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20</w:t>
            </w:r>
          </w:p>
        </w:tc>
        <w:tc>
          <w:tcPr>
            <w:tcW w:w="576"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20</w:t>
            </w:r>
          </w:p>
        </w:tc>
        <w:tc>
          <w:tcPr>
            <w:tcW w:w="576"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20</w:t>
            </w:r>
          </w:p>
        </w:tc>
        <w:tc>
          <w:tcPr>
            <w:tcW w:w="58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p>
        </w:tc>
      </w:tr>
      <w:tr>
        <w:tblPrEx>
          <w:tblCellMar>
            <w:top w:w="15" w:type="dxa"/>
            <w:left w:w="15" w:type="dxa"/>
            <w:bottom w:w="15" w:type="dxa"/>
            <w:right w:w="15" w:type="dxa"/>
          </w:tblCellMar>
        </w:tblPrEx>
        <w:trPr>
          <w:trHeight w:val="450" w:hRule="atLeast"/>
          <w:jc w:val="center"/>
        </w:trPr>
        <w:tc>
          <w:tcPr>
            <w:tcW w:w="311"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1-2</w:t>
            </w:r>
          </w:p>
        </w:tc>
        <w:tc>
          <w:tcPr>
            <w:tcW w:w="953"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意识形态阵地建设项目</w:t>
            </w:r>
          </w:p>
        </w:tc>
        <w:tc>
          <w:tcPr>
            <w:tcW w:w="138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2023.01-2025.12</w:t>
            </w:r>
          </w:p>
        </w:tc>
        <w:tc>
          <w:tcPr>
            <w:tcW w:w="4449"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bCs/>
                <w:color w:val="000000"/>
                <w:sz w:val="18"/>
                <w:szCs w:val="18"/>
              </w:rPr>
            </w:pPr>
            <w:r>
              <w:rPr>
                <w:rFonts w:hint="eastAsia" w:ascii="Times New Roman" w:hAnsi="Times New Roman" w:eastAsia="宋体" w:cs="Times New Roman"/>
                <w:bCs/>
                <w:color w:val="000000"/>
                <w:sz w:val="18"/>
                <w:szCs w:val="18"/>
              </w:rPr>
              <w:t>发挥马克思主义理论学科引领作用，加强网络意识形态阵地建设管理，推进高素质意识形态教育队伍建设，推进高素质意识形态教育队伍建设，创建</w:t>
            </w:r>
            <w:r>
              <w:rPr>
                <w:rFonts w:ascii="Times New Roman" w:hAnsi="Times New Roman" w:eastAsia="宋体" w:cs="Times New Roman"/>
                <w:bCs/>
                <w:color w:val="000000"/>
                <w:sz w:val="18"/>
                <w:szCs w:val="18"/>
              </w:rPr>
              <w:t>广东省高校“三全育人”体制机制建设试点单位</w:t>
            </w:r>
            <w:r>
              <w:rPr>
                <w:rFonts w:hint="eastAsia" w:ascii="Times New Roman" w:hAnsi="Times New Roman" w:eastAsia="宋体" w:cs="Times New Roman"/>
                <w:bCs/>
                <w:color w:val="000000"/>
                <w:sz w:val="18"/>
                <w:szCs w:val="18"/>
              </w:rPr>
              <w:t>。</w:t>
            </w:r>
          </w:p>
        </w:tc>
        <w:tc>
          <w:tcPr>
            <w:tcW w:w="437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bCs/>
                <w:color w:val="000000"/>
                <w:sz w:val="18"/>
                <w:szCs w:val="18"/>
              </w:rPr>
            </w:pPr>
            <w:r>
              <w:rPr>
                <w:rFonts w:hint="eastAsia" w:ascii="Times New Roman" w:hAnsi="Times New Roman" w:eastAsia="宋体" w:cs="Times New Roman"/>
                <w:bCs/>
                <w:color w:val="000000"/>
                <w:sz w:val="18"/>
                <w:szCs w:val="18"/>
              </w:rPr>
              <w:t>全面落实学校意识形态工作责任制，打造一批“思政课程”和“课程思政”精品课程，努力推进全员全过程全方位育人，在建设好惠州市“三全育人”学校和惠州市“立德树人”校园新时代文明实践基地基础上，创建</w:t>
            </w:r>
            <w:r>
              <w:rPr>
                <w:rFonts w:ascii="Times New Roman" w:hAnsi="Times New Roman" w:eastAsia="宋体" w:cs="Times New Roman"/>
                <w:bCs/>
                <w:color w:val="000000"/>
                <w:sz w:val="18"/>
                <w:szCs w:val="18"/>
              </w:rPr>
              <w:t>广东省高校“三全育人”体制机制建设试点单位</w:t>
            </w:r>
            <w:r>
              <w:rPr>
                <w:rFonts w:hint="eastAsia" w:ascii="Times New Roman" w:hAnsi="Times New Roman" w:eastAsia="宋体" w:cs="Times New Roman"/>
                <w:bCs/>
                <w:color w:val="000000"/>
                <w:sz w:val="18"/>
                <w:szCs w:val="18"/>
              </w:rPr>
              <w:t>。</w:t>
            </w:r>
          </w:p>
        </w:tc>
        <w:tc>
          <w:tcPr>
            <w:tcW w:w="492" w:type="dxa"/>
            <w:gridSpan w:val="2"/>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30</w:t>
            </w:r>
          </w:p>
        </w:tc>
        <w:tc>
          <w:tcPr>
            <w:tcW w:w="648"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10</w:t>
            </w:r>
          </w:p>
        </w:tc>
        <w:tc>
          <w:tcPr>
            <w:tcW w:w="576"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10</w:t>
            </w:r>
          </w:p>
        </w:tc>
        <w:tc>
          <w:tcPr>
            <w:tcW w:w="576"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10</w:t>
            </w:r>
          </w:p>
        </w:tc>
        <w:tc>
          <w:tcPr>
            <w:tcW w:w="58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p>
        </w:tc>
      </w:tr>
      <w:tr>
        <w:tblPrEx>
          <w:tblCellMar>
            <w:top w:w="15" w:type="dxa"/>
            <w:left w:w="15" w:type="dxa"/>
            <w:bottom w:w="15" w:type="dxa"/>
            <w:right w:w="15" w:type="dxa"/>
          </w:tblCellMar>
        </w:tblPrEx>
        <w:trPr>
          <w:trHeight w:val="286" w:hRule="atLeast"/>
          <w:jc w:val="center"/>
        </w:trPr>
        <w:tc>
          <w:tcPr>
            <w:tcW w:w="311"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1-3</w:t>
            </w:r>
          </w:p>
        </w:tc>
        <w:tc>
          <w:tcPr>
            <w:tcW w:w="953"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落实立德树人任务，实施“2+1”工程</w:t>
            </w:r>
          </w:p>
        </w:tc>
        <w:tc>
          <w:tcPr>
            <w:tcW w:w="138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2023.01-2025.12</w:t>
            </w:r>
          </w:p>
        </w:tc>
        <w:tc>
          <w:tcPr>
            <w:tcW w:w="4449" w:type="dxa"/>
            <w:tcBorders>
              <w:top w:val="single" w:color="000000" w:sz="4" w:space="0"/>
              <w:left w:val="single" w:color="000000" w:sz="4" w:space="0"/>
              <w:bottom w:val="single" w:color="000000" w:sz="4" w:space="0"/>
              <w:right w:val="single" w:color="000000" w:sz="4" w:space="0"/>
            </w:tcBorders>
            <w:vAlign w:val="center"/>
          </w:tcPr>
          <w:p>
            <w:pPr>
              <w:jc w:val="left"/>
              <w:rPr>
                <w:rFonts w:ascii="Times New Roman" w:hAnsi="Times New Roman" w:eastAsia="宋体" w:cs="Times New Roman"/>
                <w:bCs/>
                <w:color w:val="000000"/>
                <w:sz w:val="18"/>
                <w:szCs w:val="18"/>
              </w:rPr>
            </w:pPr>
            <w:r>
              <w:rPr>
                <w:rFonts w:hint="eastAsia" w:ascii="Times New Roman" w:hAnsi="Times New Roman" w:eastAsia="宋体" w:cs="Times New Roman"/>
                <w:bCs/>
                <w:color w:val="000000"/>
                <w:sz w:val="18"/>
                <w:szCs w:val="18"/>
              </w:rPr>
              <w:t>实施“铸魂育人”工程，落实“三进”工作新要求；实施“数字树人”工程，形成“三全育人”新格局；构建“五维全才”体系，培养“五育并举”综合型人才。</w:t>
            </w:r>
          </w:p>
        </w:tc>
        <w:tc>
          <w:tcPr>
            <w:tcW w:w="4370" w:type="dxa"/>
            <w:tcBorders>
              <w:top w:val="single" w:color="000000" w:sz="4" w:space="0"/>
              <w:left w:val="single" w:color="000000" w:sz="4" w:space="0"/>
              <w:bottom w:val="single" w:color="000000" w:sz="4" w:space="0"/>
              <w:right w:val="single" w:color="000000" w:sz="4" w:space="0"/>
            </w:tcBorders>
            <w:vAlign w:val="center"/>
          </w:tcPr>
          <w:p>
            <w:pPr>
              <w:jc w:val="left"/>
              <w:rPr>
                <w:rFonts w:ascii="Times New Roman" w:hAnsi="Times New Roman" w:eastAsia="宋体" w:cs="Times New Roman"/>
                <w:bCs/>
                <w:color w:val="000000"/>
                <w:sz w:val="18"/>
                <w:szCs w:val="18"/>
              </w:rPr>
            </w:pPr>
            <w:r>
              <w:rPr>
                <w:rFonts w:hint="eastAsia" w:ascii="Times New Roman" w:hAnsi="Times New Roman" w:eastAsia="宋体" w:cs="Times New Roman"/>
                <w:bCs/>
                <w:color w:val="000000"/>
                <w:sz w:val="18"/>
                <w:szCs w:val="18"/>
              </w:rPr>
              <w:t>实施“个十百千”工程，培育1名省级高校思想政治理论课年度影响力人物、10名校级思政课程教学名师、100名课程思政教学骨干、1000名思政课学习标兵；实施“1234”学习项目，每年开展专题学习教育10次、主题实践活动20场、各层次宣讲活动50场；建立一整套思政课实践教学制度与文件，各专业遴选3门以上的课程建设课程思政课示范课；形成不少于5个“五育并举”典型案例。</w:t>
            </w:r>
          </w:p>
        </w:tc>
        <w:tc>
          <w:tcPr>
            <w:tcW w:w="492" w:type="dxa"/>
            <w:gridSpan w:val="2"/>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23</w:t>
            </w:r>
          </w:p>
        </w:tc>
        <w:tc>
          <w:tcPr>
            <w:tcW w:w="648"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5</w:t>
            </w:r>
          </w:p>
        </w:tc>
        <w:tc>
          <w:tcPr>
            <w:tcW w:w="576"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8</w:t>
            </w:r>
          </w:p>
        </w:tc>
        <w:tc>
          <w:tcPr>
            <w:tcW w:w="576"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10</w:t>
            </w:r>
          </w:p>
        </w:tc>
        <w:tc>
          <w:tcPr>
            <w:tcW w:w="58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p>
        </w:tc>
      </w:tr>
      <w:tr>
        <w:tblPrEx>
          <w:tblCellMar>
            <w:top w:w="15" w:type="dxa"/>
            <w:left w:w="15" w:type="dxa"/>
            <w:bottom w:w="15" w:type="dxa"/>
            <w:right w:w="15" w:type="dxa"/>
          </w:tblCellMar>
        </w:tblPrEx>
        <w:trPr>
          <w:trHeight w:val="286" w:hRule="atLeast"/>
          <w:jc w:val="center"/>
        </w:trPr>
        <w:tc>
          <w:tcPr>
            <w:tcW w:w="311"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w:t>
            </w:r>
            <w:r>
              <w:rPr>
                <w:rFonts w:hint="eastAsia" w:ascii="Times New Roman" w:hAnsi="Times New Roman" w:eastAsia="宋体" w:cs="Times New Roman"/>
                <w:color w:val="000000"/>
                <w:sz w:val="18"/>
                <w:szCs w:val="18"/>
              </w:rPr>
              <w:t>4</w:t>
            </w:r>
          </w:p>
        </w:tc>
        <w:tc>
          <w:tcPr>
            <w:tcW w:w="953"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依法治校，学校治理水平提升项目</w:t>
            </w:r>
          </w:p>
        </w:tc>
        <w:tc>
          <w:tcPr>
            <w:tcW w:w="138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2023.01-2025.12</w:t>
            </w:r>
          </w:p>
        </w:tc>
        <w:tc>
          <w:tcPr>
            <w:tcW w:w="444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Times New Roman" w:hAnsi="Times New Roman" w:eastAsia="宋体" w:cs="Times New Roman"/>
                <w:bCs/>
                <w:color w:val="000000"/>
                <w:sz w:val="18"/>
                <w:szCs w:val="18"/>
              </w:rPr>
            </w:pPr>
            <w:r>
              <w:rPr>
                <w:rFonts w:hint="eastAsia" w:ascii="Times New Roman" w:hAnsi="Times New Roman" w:eastAsia="宋体" w:cs="Times New Roman"/>
                <w:bCs/>
                <w:color w:val="000000"/>
                <w:sz w:val="18"/>
                <w:szCs w:val="18"/>
              </w:rPr>
              <w:t>整合学校内部法治教育资源，加强法制教育；完善质量保障机制；建设一支高职院校法治教育队伍，确保教育队伍的专业性和稳定性；优化法治课程设置，强化法治宣传教育</w:t>
            </w:r>
          </w:p>
        </w:tc>
        <w:tc>
          <w:tcPr>
            <w:tcW w:w="437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bCs/>
                <w:color w:val="000000"/>
                <w:sz w:val="18"/>
                <w:szCs w:val="18"/>
              </w:rPr>
            </w:pPr>
            <w:r>
              <w:rPr>
                <w:rFonts w:hint="eastAsia" w:ascii="Times New Roman" w:hAnsi="Times New Roman" w:eastAsia="宋体" w:cs="Times New Roman"/>
                <w:bCs/>
                <w:color w:val="000000"/>
                <w:sz w:val="18"/>
                <w:szCs w:val="18"/>
              </w:rPr>
              <w:t>整合学校内部法治教育资源，</w:t>
            </w:r>
            <w:r>
              <w:rPr>
                <w:rFonts w:ascii="Times New Roman" w:hAnsi="Times New Roman" w:eastAsia="宋体" w:cs="Times New Roman"/>
                <w:bCs/>
                <w:color w:val="000000"/>
                <w:sz w:val="18"/>
                <w:szCs w:val="18"/>
              </w:rPr>
              <w:t>探索构建“顶层设计—部门联动—全面覆盖”的法治宣传教育工作机制，</w:t>
            </w:r>
            <w:r>
              <w:rPr>
                <w:rFonts w:hint="eastAsia" w:ascii="Times New Roman" w:hAnsi="Times New Roman" w:eastAsia="宋体" w:cs="Times New Roman"/>
                <w:bCs/>
                <w:color w:val="000000"/>
                <w:sz w:val="18"/>
                <w:szCs w:val="18"/>
              </w:rPr>
              <w:t>加强法制教育。</w:t>
            </w:r>
            <w:r>
              <w:rPr>
                <w:rFonts w:ascii="Times New Roman" w:hAnsi="Times New Roman" w:eastAsia="宋体" w:cs="Times New Roman"/>
                <w:bCs/>
                <w:color w:val="000000"/>
                <w:sz w:val="18"/>
                <w:szCs w:val="18"/>
              </w:rPr>
              <w:t>紧密对接国家科教兴国、人才强国及创新驱动发展三大战略，贯彻落实国家职业教育改革重大部署，</w:t>
            </w:r>
            <w:r>
              <w:rPr>
                <w:rFonts w:hint="eastAsia" w:ascii="Times New Roman" w:hAnsi="Times New Roman" w:eastAsia="宋体" w:cs="Times New Roman"/>
                <w:bCs/>
                <w:color w:val="000000"/>
                <w:sz w:val="18"/>
                <w:szCs w:val="18"/>
              </w:rPr>
              <w:t>加快完善学校章程建设，加大保障力度，强化常态监控，着力构建“七位一体”质量保障体系。进一步强化学校对法治建设的支持和保障，确保法治校园建设取得实效。</w:t>
            </w:r>
          </w:p>
        </w:tc>
        <w:tc>
          <w:tcPr>
            <w:tcW w:w="492" w:type="dxa"/>
            <w:gridSpan w:val="2"/>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15</w:t>
            </w:r>
          </w:p>
        </w:tc>
        <w:tc>
          <w:tcPr>
            <w:tcW w:w="648"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5</w:t>
            </w:r>
          </w:p>
        </w:tc>
        <w:tc>
          <w:tcPr>
            <w:tcW w:w="576"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5</w:t>
            </w:r>
          </w:p>
        </w:tc>
        <w:tc>
          <w:tcPr>
            <w:tcW w:w="576"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5</w:t>
            </w:r>
          </w:p>
        </w:tc>
        <w:tc>
          <w:tcPr>
            <w:tcW w:w="58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p>
        </w:tc>
      </w:tr>
      <w:tr>
        <w:tblPrEx>
          <w:tblCellMar>
            <w:top w:w="15" w:type="dxa"/>
            <w:left w:w="15" w:type="dxa"/>
            <w:bottom w:w="15" w:type="dxa"/>
            <w:right w:w="15" w:type="dxa"/>
          </w:tblCellMar>
        </w:tblPrEx>
        <w:trPr>
          <w:trHeight w:val="286" w:hRule="atLeast"/>
          <w:jc w:val="center"/>
        </w:trPr>
        <w:tc>
          <w:tcPr>
            <w:tcW w:w="311"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w:t>
            </w:r>
            <w:r>
              <w:rPr>
                <w:rFonts w:hint="eastAsia" w:ascii="Times New Roman" w:hAnsi="Times New Roman" w:eastAsia="宋体" w:cs="Times New Roman"/>
                <w:color w:val="000000"/>
                <w:sz w:val="18"/>
                <w:szCs w:val="18"/>
              </w:rPr>
              <w:t>5</w:t>
            </w:r>
          </w:p>
        </w:tc>
        <w:tc>
          <w:tcPr>
            <w:tcW w:w="953"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流程再造，体制机制改革项目</w:t>
            </w:r>
          </w:p>
        </w:tc>
        <w:tc>
          <w:tcPr>
            <w:tcW w:w="138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2023.01-2025.12</w:t>
            </w:r>
          </w:p>
        </w:tc>
        <w:tc>
          <w:tcPr>
            <w:tcW w:w="4449"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bCs/>
                <w:color w:val="000000"/>
                <w:sz w:val="18"/>
                <w:szCs w:val="18"/>
              </w:rPr>
            </w:pPr>
            <w:r>
              <w:rPr>
                <w:rFonts w:hint="eastAsia" w:ascii="Times New Roman" w:hAnsi="Times New Roman" w:eastAsia="宋体" w:cs="Times New Roman"/>
                <w:bCs/>
                <w:color w:val="000000"/>
                <w:sz w:val="18"/>
                <w:szCs w:val="18"/>
              </w:rPr>
              <w:t>完善以章程为统领的学校制度体系；健全学术事务决策与执行机制；健全专业建设和教学改革机制；健全对外合作与交流机制；优化“放管服”制度机制；建立质量保障机制</w:t>
            </w:r>
          </w:p>
        </w:tc>
        <w:tc>
          <w:tcPr>
            <w:tcW w:w="437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bCs/>
                <w:color w:val="000000"/>
                <w:sz w:val="18"/>
                <w:szCs w:val="18"/>
              </w:rPr>
            </w:pPr>
            <w:r>
              <w:rPr>
                <w:rFonts w:hint="eastAsia" w:ascii="Times New Roman" w:hAnsi="Times New Roman" w:eastAsia="宋体" w:cs="Times New Roman"/>
                <w:bCs/>
                <w:color w:val="000000"/>
                <w:sz w:val="18"/>
                <w:szCs w:val="18"/>
              </w:rPr>
              <w:t>通过流程再造，使学校制度体系更加完善，规章制度科学规范，运行有效，为学校发展提供了强有力的制度保障；专业建设和教学改革机制得到加强，校企合作更加紧密，教学质量和专业水平得到提升；内部质量保障机制发挥作用，教学质量和学校管理水平得到全面提升。提升学校的品牌形象和社会影响力，为培养更多高素质技术人才和服务社会经济发展做出更大贡献。</w:t>
            </w:r>
          </w:p>
        </w:tc>
        <w:tc>
          <w:tcPr>
            <w:tcW w:w="492" w:type="dxa"/>
            <w:gridSpan w:val="2"/>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7</w:t>
            </w:r>
          </w:p>
        </w:tc>
        <w:tc>
          <w:tcPr>
            <w:tcW w:w="648"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2</w:t>
            </w:r>
          </w:p>
        </w:tc>
        <w:tc>
          <w:tcPr>
            <w:tcW w:w="576"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3</w:t>
            </w:r>
          </w:p>
        </w:tc>
        <w:tc>
          <w:tcPr>
            <w:tcW w:w="576"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2</w:t>
            </w:r>
          </w:p>
        </w:tc>
        <w:tc>
          <w:tcPr>
            <w:tcW w:w="58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p>
        </w:tc>
      </w:tr>
      <w:tr>
        <w:tblPrEx>
          <w:tblCellMar>
            <w:top w:w="15" w:type="dxa"/>
            <w:left w:w="15" w:type="dxa"/>
            <w:bottom w:w="15" w:type="dxa"/>
            <w:right w:w="15" w:type="dxa"/>
          </w:tblCellMar>
        </w:tblPrEx>
        <w:trPr>
          <w:trHeight w:val="286" w:hRule="atLeast"/>
          <w:jc w:val="center"/>
        </w:trPr>
        <w:tc>
          <w:tcPr>
            <w:tcW w:w="311"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w:t>
            </w:r>
            <w:r>
              <w:rPr>
                <w:rFonts w:hint="eastAsia" w:ascii="Times New Roman" w:hAnsi="Times New Roman" w:eastAsia="宋体" w:cs="Times New Roman"/>
                <w:color w:val="000000"/>
                <w:sz w:val="18"/>
                <w:szCs w:val="18"/>
              </w:rPr>
              <w:t>6</w:t>
            </w:r>
          </w:p>
        </w:tc>
        <w:tc>
          <w:tcPr>
            <w:tcW w:w="953"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内部质量保证体系建设项目</w:t>
            </w:r>
          </w:p>
        </w:tc>
        <w:tc>
          <w:tcPr>
            <w:tcW w:w="138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2023.01-2025.12</w:t>
            </w:r>
          </w:p>
        </w:tc>
        <w:tc>
          <w:tcPr>
            <w:tcW w:w="4449" w:type="dxa"/>
            <w:tcBorders>
              <w:top w:val="single" w:color="000000" w:sz="4" w:space="0"/>
              <w:left w:val="single" w:color="000000" w:sz="4" w:space="0"/>
              <w:bottom w:val="single" w:color="000000" w:sz="4" w:space="0"/>
              <w:right w:val="single" w:color="000000" w:sz="4" w:space="0"/>
            </w:tcBorders>
            <w:vAlign w:val="center"/>
          </w:tcPr>
          <w:p>
            <w:pPr>
              <w:jc w:val="left"/>
              <w:rPr>
                <w:rFonts w:ascii="Times New Roman" w:hAnsi="Times New Roman" w:eastAsia="宋体" w:cs="Times New Roman"/>
                <w:bCs/>
                <w:color w:val="000000"/>
                <w:sz w:val="18"/>
                <w:szCs w:val="18"/>
              </w:rPr>
            </w:pPr>
            <w:r>
              <w:rPr>
                <w:rFonts w:hint="eastAsia" w:ascii="Times New Roman" w:hAnsi="Times New Roman" w:eastAsia="宋体" w:cs="Times New Roman"/>
                <w:bCs/>
                <w:color w:val="000000"/>
                <w:sz w:val="18"/>
                <w:szCs w:val="18"/>
              </w:rPr>
              <w:t>通过构建组织管理体系、构建内部质量保证体系，科学制定目标链和标准链，优化信息化管理平台，提高质量保证体系运行保障能力，提高质量督导与常态监控覆盖面和力度，规范采集人才培养状态数据，形成多元参与质量评价机制。</w:t>
            </w:r>
          </w:p>
        </w:tc>
        <w:tc>
          <w:tcPr>
            <w:tcW w:w="4370" w:type="dxa"/>
            <w:tcBorders>
              <w:top w:val="single" w:color="000000" w:sz="4" w:space="0"/>
              <w:left w:val="single" w:color="000000" w:sz="4" w:space="0"/>
              <w:bottom w:val="single" w:color="000000" w:sz="4" w:space="0"/>
              <w:right w:val="single" w:color="000000" w:sz="4" w:space="0"/>
            </w:tcBorders>
            <w:vAlign w:val="center"/>
          </w:tcPr>
          <w:p>
            <w:pPr>
              <w:jc w:val="left"/>
              <w:rPr>
                <w:rFonts w:ascii="Times New Roman" w:hAnsi="Times New Roman" w:eastAsia="宋体" w:cs="Times New Roman"/>
                <w:bCs/>
                <w:color w:val="000000"/>
                <w:sz w:val="18"/>
                <w:szCs w:val="18"/>
              </w:rPr>
            </w:pPr>
            <w:r>
              <w:rPr>
                <w:rFonts w:hint="eastAsia" w:ascii="Times New Roman" w:hAnsi="Times New Roman" w:eastAsia="宋体" w:cs="Times New Roman"/>
                <w:bCs/>
                <w:color w:val="000000"/>
                <w:sz w:val="18"/>
                <w:szCs w:val="18"/>
              </w:rPr>
              <w:t>实施好《惠州工程职业学院内部质量保证体系建设与运行实施方案》，推动学校实施常态化自主保证人才培养质量机制，引导和促进学院不断完善内部质量保证体系建设，提升内部质量保证工作成效，推进学校深化改革、内涵发展、办出特色，全面提高人才培养质量，主动适应社会经济发展需要。促进学校不断完善内部质量保证体系建设，持续提高人才培养质量。</w:t>
            </w:r>
          </w:p>
        </w:tc>
        <w:tc>
          <w:tcPr>
            <w:tcW w:w="492" w:type="dxa"/>
            <w:gridSpan w:val="2"/>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10</w:t>
            </w:r>
          </w:p>
        </w:tc>
        <w:tc>
          <w:tcPr>
            <w:tcW w:w="648"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3</w:t>
            </w:r>
          </w:p>
        </w:tc>
        <w:tc>
          <w:tcPr>
            <w:tcW w:w="576"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3</w:t>
            </w:r>
          </w:p>
        </w:tc>
        <w:tc>
          <w:tcPr>
            <w:tcW w:w="576"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4</w:t>
            </w:r>
          </w:p>
        </w:tc>
        <w:tc>
          <w:tcPr>
            <w:tcW w:w="58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p>
        </w:tc>
      </w:tr>
      <w:tr>
        <w:tblPrEx>
          <w:tblCellMar>
            <w:top w:w="15" w:type="dxa"/>
            <w:left w:w="15" w:type="dxa"/>
            <w:bottom w:w="15" w:type="dxa"/>
            <w:right w:w="15" w:type="dxa"/>
          </w:tblCellMar>
        </w:tblPrEx>
        <w:trPr>
          <w:trHeight w:val="450" w:hRule="atLeast"/>
          <w:jc w:val="center"/>
        </w:trPr>
        <w:tc>
          <w:tcPr>
            <w:tcW w:w="311"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p>
        </w:tc>
        <w:tc>
          <w:tcPr>
            <w:tcW w:w="953"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二、办学条件改善项目</w:t>
            </w:r>
          </w:p>
        </w:tc>
        <w:tc>
          <w:tcPr>
            <w:tcW w:w="138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2023.01-2025.12</w:t>
            </w:r>
          </w:p>
        </w:tc>
        <w:tc>
          <w:tcPr>
            <w:tcW w:w="4449"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bCs/>
                <w:color w:val="000000"/>
                <w:sz w:val="18"/>
                <w:szCs w:val="18"/>
              </w:rPr>
            </w:pPr>
            <w:r>
              <w:rPr>
                <w:rFonts w:hint="eastAsia" w:ascii="Times New Roman" w:hAnsi="Times New Roman" w:eastAsia="宋体" w:cs="Times New Roman"/>
                <w:bCs/>
                <w:color w:val="000000"/>
                <w:sz w:val="18"/>
                <w:szCs w:val="18"/>
              </w:rPr>
              <w:t>∕</w:t>
            </w:r>
          </w:p>
        </w:tc>
        <w:tc>
          <w:tcPr>
            <w:tcW w:w="437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bCs/>
                <w:color w:val="000000"/>
                <w:sz w:val="18"/>
                <w:szCs w:val="18"/>
              </w:rPr>
            </w:pPr>
            <w:r>
              <w:rPr>
                <w:rFonts w:hint="eastAsia" w:ascii="Times New Roman" w:hAnsi="Times New Roman" w:eastAsia="宋体" w:cs="Times New Roman"/>
                <w:bCs/>
                <w:color w:val="000000"/>
                <w:sz w:val="18"/>
                <w:szCs w:val="18"/>
              </w:rPr>
              <w:t>∕</w:t>
            </w:r>
          </w:p>
        </w:tc>
        <w:tc>
          <w:tcPr>
            <w:tcW w:w="492" w:type="dxa"/>
            <w:gridSpan w:val="2"/>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14310</w:t>
            </w:r>
          </w:p>
        </w:tc>
        <w:tc>
          <w:tcPr>
            <w:tcW w:w="648"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1350</w:t>
            </w:r>
          </w:p>
        </w:tc>
        <w:tc>
          <w:tcPr>
            <w:tcW w:w="576"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5460</w:t>
            </w:r>
          </w:p>
        </w:tc>
        <w:tc>
          <w:tcPr>
            <w:tcW w:w="576"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7500</w:t>
            </w:r>
          </w:p>
        </w:tc>
        <w:tc>
          <w:tcPr>
            <w:tcW w:w="58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p>
        </w:tc>
      </w:tr>
      <w:tr>
        <w:tblPrEx>
          <w:tblCellMar>
            <w:top w:w="15" w:type="dxa"/>
            <w:left w:w="15" w:type="dxa"/>
            <w:bottom w:w="15" w:type="dxa"/>
            <w:right w:w="15" w:type="dxa"/>
          </w:tblCellMar>
        </w:tblPrEx>
        <w:trPr>
          <w:trHeight w:val="450" w:hRule="atLeast"/>
          <w:jc w:val="center"/>
        </w:trPr>
        <w:tc>
          <w:tcPr>
            <w:tcW w:w="311"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2-1</w:t>
            </w:r>
          </w:p>
        </w:tc>
        <w:tc>
          <w:tcPr>
            <w:tcW w:w="953"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生师比达标项目</w:t>
            </w:r>
          </w:p>
        </w:tc>
        <w:tc>
          <w:tcPr>
            <w:tcW w:w="138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bCs/>
                <w:color w:val="000000"/>
                <w:sz w:val="18"/>
                <w:szCs w:val="18"/>
              </w:rPr>
            </w:pPr>
            <w:r>
              <w:rPr>
                <w:rFonts w:hint="eastAsia" w:ascii="Times New Roman" w:hAnsi="Times New Roman" w:eastAsia="宋体" w:cs="Times New Roman"/>
                <w:bCs/>
                <w:color w:val="000000"/>
                <w:sz w:val="18"/>
                <w:szCs w:val="18"/>
              </w:rPr>
              <w:t>2023.01-2025.12</w:t>
            </w:r>
          </w:p>
        </w:tc>
        <w:tc>
          <w:tcPr>
            <w:tcW w:w="4449"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bCs/>
                <w:color w:val="000000"/>
                <w:sz w:val="18"/>
                <w:szCs w:val="18"/>
              </w:rPr>
            </w:pPr>
            <w:r>
              <w:rPr>
                <w:rFonts w:hint="eastAsia" w:ascii="Times New Roman" w:hAnsi="Times New Roman" w:eastAsia="宋体" w:cs="Times New Roman"/>
                <w:bCs/>
                <w:color w:val="000000"/>
                <w:sz w:val="18"/>
                <w:szCs w:val="18"/>
              </w:rPr>
              <w:t>大力培育校本师资队伍，提升师资水平；实施“筑巢引凤”工程，坚持“走出去”战略，加强校企合作，逐年补足教师缺口；争取地方政府在编制数量和办学经费上给予支持</w:t>
            </w:r>
          </w:p>
        </w:tc>
        <w:tc>
          <w:tcPr>
            <w:tcW w:w="437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bCs/>
                <w:color w:val="000000"/>
                <w:sz w:val="18"/>
                <w:szCs w:val="18"/>
              </w:rPr>
            </w:pPr>
            <w:r>
              <w:rPr>
                <w:rFonts w:hint="eastAsia" w:ascii="Times New Roman" w:hAnsi="Times New Roman" w:eastAsia="宋体" w:cs="Times New Roman"/>
                <w:bCs/>
                <w:color w:val="000000"/>
                <w:sz w:val="18"/>
                <w:szCs w:val="18"/>
              </w:rPr>
              <w:t>在2023年、2024年、2025年逐步新引进专任教师290人，争取在2025年底前专任教师数量规模达660人，控制生师比在18：1之内。</w:t>
            </w:r>
          </w:p>
        </w:tc>
        <w:tc>
          <w:tcPr>
            <w:tcW w:w="492" w:type="dxa"/>
            <w:gridSpan w:val="2"/>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4300</w:t>
            </w:r>
          </w:p>
        </w:tc>
        <w:tc>
          <w:tcPr>
            <w:tcW w:w="648"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1000</w:t>
            </w:r>
          </w:p>
        </w:tc>
        <w:tc>
          <w:tcPr>
            <w:tcW w:w="576"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1500</w:t>
            </w:r>
          </w:p>
        </w:tc>
        <w:tc>
          <w:tcPr>
            <w:tcW w:w="576"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1800</w:t>
            </w:r>
          </w:p>
        </w:tc>
        <w:tc>
          <w:tcPr>
            <w:tcW w:w="58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p>
        </w:tc>
      </w:tr>
      <w:tr>
        <w:tblPrEx>
          <w:tblCellMar>
            <w:top w:w="15" w:type="dxa"/>
            <w:left w:w="15" w:type="dxa"/>
            <w:bottom w:w="15" w:type="dxa"/>
            <w:right w:w="15" w:type="dxa"/>
          </w:tblCellMar>
        </w:tblPrEx>
        <w:trPr>
          <w:trHeight w:val="286" w:hRule="atLeast"/>
          <w:jc w:val="center"/>
        </w:trPr>
        <w:tc>
          <w:tcPr>
            <w:tcW w:w="311"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2-2</w:t>
            </w:r>
          </w:p>
        </w:tc>
        <w:tc>
          <w:tcPr>
            <w:tcW w:w="953"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教学行政用房提升工程</w:t>
            </w:r>
          </w:p>
        </w:tc>
        <w:tc>
          <w:tcPr>
            <w:tcW w:w="138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2023.01-2025.12</w:t>
            </w:r>
          </w:p>
        </w:tc>
        <w:tc>
          <w:tcPr>
            <w:tcW w:w="4449"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bCs/>
                <w:color w:val="000000"/>
                <w:sz w:val="18"/>
                <w:szCs w:val="18"/>
              </w:rPr>
            </w:pPr>
            <w:r>
              <w:rPr>
                <w:rFonts w:hint="eastAsia" w:ascii="Times New Roman" w:hAnsi="Times New Roman" w:eastAsia="宋体" w:cs="Times New Roman"/>
                <w:bCs/>
                <w:color w:val="000000"/>
                <w:sz w:val="18"/>
                <w:szCs w:val="18"/>
              </w:rPr>
              <w:t>挖潜现有资源，完善现有教学行政用房条件，划拨土地，新建教学楼和学生宿舍。</w:t>
            </w:r>
          </w:p>
        </w:tc>
        <w:tc>
          <w:tcPr>
            <w:tcW w:w="437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bCs/>
                <w:color w:val="000000"/>
                <w:sz w:val="18"/>
                <w:szCs w:val="18"/>
              </w:rPr>
            </w:pPr>
            <w:r>
              <w:rPr>
                <w:rFonts w:hint="eastAsia" w:ascii="Times New Roman" w:hAnsi="Times New Roman" w:eastAsia="宋体" w:cs="Times New Roman"/>
                <w:bCs/>
                <w:color w:val="000000"/>
                <w:sz w:val="18"/>
                <w:szCs w:val="18"/>
              </w:rPr>
              <w:t>预计增加60000㎡教学行政用房，增加20000㎡学生宿舍面积。</w:t>
            </w:r>
          </w:p>
        </w:tc>
        <w:tc>
          <w:tcPr>
            <w:tcW w:w="492" w:type="dxa"/>
            <w:gridSpan w:val="2"/>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8000</w:t>
            </w:r>
          </w:p>
        </w:tc>
        <w:tc>
          <w:tcPr>
            <w:tcW w:w="648"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0</w:t>
            </w:r>
          </w:p>
        </w:tc>
        <w:tc>
          <w:tcPr>
            <w:tcW w:w="576"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3000</w:t>
            </w:r>
          </w:p>
        </w:tc>
        <w:tc>
          <w:tcPr>
            <w:tcW w:w="576"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5000</w:t>
            </w:r>
          </w:p>
        </w:tc>
        <w:tc>
          <w:tcPr>
            <w:tcW w:w="58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p>
        </w:tc>
      </w:tr>
      <w:tr>
        <w:tblPrEx>
          <w:tblCellMar>
            <w:top w:w="15" w:type="dxa"/>
            <w:left w:w="15" w:type="dxa"/>
            <w:bottom w:w="15" w:type="dxa"/>
            <w:right w:w="15" w:type="dxa"/>
          </w:tblCellMar>
        </w:tblPrEx>
        <w:trPr>
          <w:trHeight w:val="286" w:hRule="atLeast"/>
          <w:jc w:val="center"/>
        </w:trPr>
        <w:tc>
          <w:tcPr>
            <w:tcW w:w="311"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2-3</w:t>
            </w:r>
          </w:p>
        </w:tc>
        <w:tc>
          <w:tcPr>
            <w:tcW w:w="953"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实训场所提升工程</w:t>
            </w:r>
          </w:p>
        </w:tc>
        <w:tc>
          <w:tcPr>
            <w:tcW w:w="138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2023.01-2025.12</w:t>
            </w:r>
          </w:p>
        </w:tc>
        <w:tc>
          <w:tcPr>
            <w:tcW w:w="4449" w:type="dxa"/>
            <w:tcBorders>
              <w:top w:val="single" w:color="000000" w:sz="4" w:space="0"/>
              <w:left w:val="single" w:color="000000" w:sz="4" w:space="0"/>
              <w:bottom w:val="single" w:color="000000" w:sz="4" w:space="0"/>
              <w:right w:val="single" w:color="000000" w:sz="4" w:space="0"/>
            </w:tcBorders>
            <w:vAlign w:val="center"/>
          </w:tcPr>
          <w:p>
            <w:pPr>
              <w:jc w:val="left"/>
              <w:rPr>
                <w:rFonts w:ascii="Times New Roman" w:hAnsi="Times New Roman" w:eastAsia="宋体" w:cs="Times New Roman"/>
                <w:bCs/>
                <w:color w:val="000000"/>
                <w:sz w:val="18"/>
                <w:szCs w:val="18"/>
              </w:rPr>
            </w:pPr>
            <w:r>
              <w:rPr>
                <w:rFonts w:hint="eastAsia" w:ascii="Times New Roman" w:hAnsi="Times New Roman" w:eastAsia="宋体" w:cs="Times New Roman"/>
                <w:bCs/>
                <w:color w:val="000000"/>
                <w:sz w:val="18"/>
                <w:szCs w:val="18"/>
              </w:rPr>
              <w:t>争取资金，完成学校三期标准运动场的建设工作，新建园艺植物种植基地，校企合作共建大学生科技园。</w:t>
            </w:r>
          </w:p>
        </w:tc>
        <w:tc>
          <w:tcPr>
            <w:tcW w:w="4370" w:type="dxa"/>
            <w:tcBorders>
              <w:top w:val="single" w:color="000000" w:sz="4" w:space="0"/>
              <w:left w:val="single" w:color="000000" w:sz="4" w:space="0"/>
              <w:bottom w:val="single" w:color="000000" w:sz="4" w:space="0"/>
              <w:right w:val="single" w:color="000000" w:sz="4" w:space="0"/>
            </w:tcBorders>
            <w:vAlign w:val="center"/>
          </w:tcPr>
          <w:p>
            <w:pPr>
              <w:jc w:val="left"/>
              <w:rPr>
                <w:rFonts w:ascii="Times New Roman" w:hAnsi="Times New Roman" w:eastAsia="宋体" w:cs="Times New Roman"/>
                <w:bCs/>
                <w:color w:val="000000"/>
                <w:sz w:val="18"/>
                <w:szCs w:val="18"/>
              </w:rPr>
            </w:pPr>
            <w:r>
              <w:rPr>
                <w:rFonts w:hint="eastAsia" w:ascii="Times New Roman" w:hAnsi="Times New Roman" w:eastAsia="宋体" w:cs="Times New Roman"/>
                <w:bCs/>
                <w:color w:val="000000"/>
                <w:sz w:val="18"/>
                <w:szCs w:val="18"/>
              </w:rPr>
              <w:t>通过新一轮实训场所建设，标准运动场可提供14000㎡的实训面积，园艺植物种植基地可提供10000㎡的实训面积，与企业合作，共建实训基地，通过产教融合校企合作建设，企业可提供设备、技术支持、学生实习实践工位等。新建实训场所，确保生均实训场所面积达到8.8㎡。</w:t>
            </w:r>
          </w:p>
        </w:tc>
        <w:tc>
          <w:tcPr>
            <w:tcW w:w="492" w:type="dxa"/>
            <w:gridSpan w:val="2"/>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1110</w:t>
            </w:r>
          </w:p>
        </w:tc>
        <w:tc>
          <w:tcPr>
            <w:tcW w:w="648" w:type="dxa"/>
            <w:tcBorders>
              <w:top w:val="single" w:color="000000" w:sz="4" w:space="0"/>
              <w:left w:val="single" w:color="000000" w:sz="4" w:space="0"/>
              <w:bottom w:val="single" w:color="000000" w:sz="4" w:space="0"/>
              <w:right w:val="single" w:color="000000" w:sz="4" w:space="0"/>
            </w:tcBorders>
            <w:vAlign w:val="center"/>
          </w:tcPr>
          <w:p>
            <w:pPr>
              <w:jc w:val="left"/>
              <w:rPr>
                <w:rFonts w:ascii="仿宋" w:hAnsi="仿宋" w:eastAsia="仿宋" w:cs="仿宋"/>
                <w:color w:val="000000"/>
                <w:szCs w:val="21"/>
              </w:rPr>
            </w:pPr>
            <w:r>
              <w:rPr>
                <w:rFonts w:hint="eastAsia" w:ascii="仿宋" w:hAnsi="仿宋" w:eastAsia="仿宋" w:cs="仿宋"/>
                <w:color w:val="000000"/>
                <w:szCs w:val="21"/>
              </w:rPr>
              <w:t>250</w:t>
            </w:r>
          </w:p>
        </w:tc>
        <w:tc>
          <w:tcPr>
            <w:tcW w:w="576" w:type="dxa"/>
            <w:tcBorders>
              <w:top w:val="single" w:color="000000" w:sz="4" w:space="0"/>
              <w:left w:val="single" w:color="000000" w:sz="4" w:space="0"/>
              <w:bottom w:val="single" w:color="000000" w:sz="4" w:space="0"/>
              <w:right w:val="single" w:color="000000" w:sz="4" w:space="0"/>
            </w:tcBorders>
            <w:vAlign w:val="center"/>
          </w:tcPr>
          <w:p>
            <w:pPr>
              <w:jc w:val="left"/>
              <w:rPr>
                <w:rFonts w:ascii="仿宋" w:hAnsi="仿宋" w:eastAsia="仿宋" w:cs="仿宋"/>
                <w:color w:val="000000"/>
                <w:szCs w:val="21"/>
              </w:rPr>
            </w:pPr>
            <w:r>
              <w:rPr>
                <w:rFonts w:hint="eastAsia" w:ascii="仿宋" w:hAnsi="仿宋" w:eastAsia="仿宋" w:cs="仿宋"/>
                <w:color w:val="000000"/>
                <w:szCs w:val="21"/>
              </w:rPr>
              <w:t>360</w:t>
            </w:r>
          </w:p>
        </w:tc>
        <w:tc>
          <w:tcPr>
            <w:tcW w:w="576" w:type="dxa"/>
            <w:tcBorders>
              <w:top w:val="single" w:color="000000" w:sz="4" w:space="0"/>
              <w:left w:val="single" w:color="000000" w:sz="4" w:space="0"/>
              <w:bottom w:val="single" w:color="000000" w:sz="4" w:space="0"/>
              <w:right w:val="single" w:color="000000" w:sz="4" w:space="0"/>
            </w:tcBorders>
            <w:vAlign w:val="center"/>
          </w:tcPr>
          <w:p>
            <w:pPr>
              <w:jc w:val="left"/>
              <w:rPr>
                <w:rFonts w:ascii="仿宋" w:hAnsi="仿宋" w:eastAsia="仿宋" w:cs="仿宋"/>
                <w:color w:val="000000"/>
                <w:szCs w:val="21"/>
              </w:rPr>
            </w:pPr>
            <w:r>
              <w:rPr>
                <w:rFonts w:hint="eastAsia" w:ascii="仿宋" w:hAnsi="仿宋" w:eastAsia="仿宋" w:cs="仿宋"/>
                <w:color w:val="000000"/>
                <w:szCs w:val="21"/>
              </w:rPr>
              <w:t>500</w:t>
            </w:r>
          </w:p>
        </w:tc>
        <w:tc>
          <w:tcPr>
            <w:tcW w:w="58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p>
        </w:tc>
      </w:tr>
      <w:tr>
        <w:tblPrEx>
          <w:tblCellMar>
            <w:top w:w="15" w:type="dxa"/>
            <w:left w:w="15" w:type="dxa"/>
            <w:bottom w:w="15" w:type="dxa"/>
            <w:right w:w="15" w:type="dxa"/>
          </w:tblCellMar>
        </w:tblPrEx>
        <w:trPr>
          <w:trHeight w:val="105" w:hRule="atLeast"/>
          <w:jc w:val="center"/>
        </w:trPr>
        <w:tc>
          <w:tcPr>
            <w:tcW w:w="311" w:type="dxa"/>
            <w:tcBorders>
              <w:top w:val="single" w:color="000000" w:sz="4" w:space="0"/>
              <w:left w:val="single" w:color="000000" w:sz="4" w:space="0"/>
              <w:bottom w:val="single" w:color="auto"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2-4</w:t>
            </w:r>
          </w:p>
        </w:tc>
        <w:tc>
          <w:tcPr>
            <w:tcW w:w="953" w:type="dxa"/>
            <w:tcBorders>
              <w:top w:val="single" w:color="000000" w:sz="4" w:space="0"/>
              <w:left w:val="single" w:color="000000" w:sz="4" w:space="0"/>
              <w:bottom w:val="single" w:color="auto"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图书馆建设提升工程</w:t>
            </w:r>
          </w:p>
        </w:tc>
        <w:tc>
          <w:tcPr>
            <w:tcW w:w="1380" w:type="dxa"/>
            <w:tcBorders>
              <w:top w:val="single" w:color="000000" w:sz="4" w:space="0"/>
              <w:left w:val="single" w:color="000000" w:sz="4" w:space="0"/>
              <w:bottom w:val="single" w:color="auto"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2023.01-2025.12</w:t>
            </w:r>
          </w:p>
        </w:tc>
        <w:tc>
          <w:tcPr>
            <w:tcW w:w="4449" w:type="dxa"/>
            <w:tcBorders>
              <w:top w:val="single" w:color="000000" w:sz="4" w:space="0"/>
              <w:left w:val="single" w:color="000000" w:sz="4" w:space="0"/>
              <w:bottom w:val="single" w:color="auto" w:sz="4" w:space="0"/>
              <w:right w:val="single" w:color="000000" w:sz="4" w:space="0"/>
            </w:tcBorders>
            <w:vAlign w:val="center"/>
          </w:tcPr>
          <w:p>
            <w:pPr>
              <w:rPr>
                <w:rFonts w:ascii="Times New Roman" w:hAnsi="Times New Roman" w:eastAsia="宋体" w:cs="Times New Roman"/>
                <w:bCs/>
                <w:color w:val="000000"/>
                <w:sz w:val="18"/>
                <w:szCs w:val="18"/>
              </w:rPr>
            </w:pPr>
            <w:r>
              <w:rPr>
                <w:rFonts w:hint="eastAsia" w:ascii="Times New Roman" w:hAnsi="Times New Roman" w:eastAsia="宋体" w:cs="Times New Roman"/>
                <w:bCs/>
                <w:color w:val="000000"/>
                <w:sz w:val="18"/>
                <w:szCs w:val="18"/>
              </w:rPr>
              <w:t>以全校师生为本，以文献信息资源建设、开发、利用为重点，以管理创新、服务创新为中心，以队伍建设为关键，建立健全与我校的教学、科研和学科建设发展相适应的文献资源保障系统和读者服务保障系统。</w:t>
            </w:r>
          </w:p>
        </w:tc>
        <w:tc>
          <w:tcPr>
            <w:tcW w:w="4370" w:type="dxa"/>
            <w:tcBorders>
              <w:top w:val="single" w:color="000000" w:sz="4" w:space="0"/>
              <w:left w:val="single" w:color="000000" w:sz="4" w:space="0"/>
              <w:bottom w:val="single" w:color="auto" w:sz="4" w:space="0"/>
              <w:right w:val="single" w:color="000000" w:sz="4" w:space="0"/>
            </w:tcBorders>
            <w:vAlign w:val="center"/>
          </w:tcPr>
          <w:p>
            <w:pPr>
              <w:rPr>
                <w:rFonts w:ascii="Times New Roman" w:hAnsi="Times New Roman" w:eastAsia="宋体" w:cs="Times New Roman"/>
                <w:bCs/>
                <w:color w:val="000000"/>
                <w:sz w:val="18"/>
                <w:szCs w:val="18"/>
              </w:rPr>
            </w:pPr>
            <w:r>
              <w:rPr>
                <w:rFonts w:hint="eastAsia" w:ascii="Times New Roman" w:hAnsi="Times New Roman" w:eastAsia="宋体" w:cs="Times New Roman"/>
                <w:bCs/>
                <w:color w:val="000000"/>
                <w:sz w:val="18"/>
                <w:szCs w:val="18"/>
              </w:rPr>
              <w:t>到2025年，使我校图书馆文献资源达到教育部《全国高职高专院校图书馆评价指标体系》（试行）的合格要求，生均图书超过60册，力争赶上省内同类高校图书馆的平均发展水平。</w:t>
            </w:r>
          </w:p>
        </w:tc>
        <w:tc>
          <w:tcPr>
            <w:tcW w:w="492" w:type="dxa"/>
            <w:gridSpan w:val="2"/>
            <w:tcBorders>
              <w:top w:val="single" w:color="000000" w:sz="4" w:space="0"/>
              <w:left w:val="single" w:color="000000" w:sz="4" w:space="0"/>
              <w:bottom w:val="single" w:color="auto"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900</w:t>
            </w:r>
          </w:p>
        </w:tc>
        <w:tc>
          <w:tcPr>
            <w:tcW w:w="648" w:type="dxa"/>
            <w:tcBorders>
              <w:top w:val="single" w:color="000000" w:sz="4" w:space="0"/>
              <w:left w:val="single" w:color="000000" w:sz="4" w:space="0"/>
              <w:bottom w:val="single" w:color="auto"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100</w:t>
            </w:r>
          </w:p>
        </w:tc>
        <w:tc>
          <w:tcPr>
            <w:tcW w:w="576" w:type="dxa"/>
            <w:tcBorders>
              <w:top w:val="single" w:color="000000" w:sz="4" w:space="0"/>
              <w:left w:val="single" w:color="000000" w:sz="4" w:space="0"/>
              <w:bottom w:val="single" w:color="auto"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600</w:t>
            </w:r>
          </w:p>
        </w:tc>
        <w:tc>
          <w:tcPr>
            <w:tcW w:w="576" w:type="dxa"/>
            <w:tcBorders>
              <w:top w:val="single" w:color="000000" w:sz="4" w:space="0"/>
              <w:left w:val="single" w:color="000000" w:sz="4" w:space="0"/>
              <w:bottom w:val="single" w:color="auto"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200</w:t>
            </w:r>
          </w:p>
        </w:tc>
        <w:tc>
          <w:tcPr>
            <w:tcW w:w="580" w:type="dxa"/>
            <w:tcBorders>
              <w:top w:val="single" w:color="000000" w:sz="4" w:space="0"/>
              <w:left w:val="single" w:color="000000" w:sz="4" w:space="0"/>
              <w:bottom w:val="single" w:color="auto" w:sz="4" w:space="0"/>
              <w:right w:val="single" w:color="000000" w:sz="4" w:space="0"/>
            </w:tcBorders>
            <w:vAlign w:val="center"/>
          </w:tcPr>
          <w:p>
            <w:pPr>
              <w:rPr>
                <w:rFonts w:ascii="Times New Roman" w:hAnsi="Times New Roman" w:eastAsia="宋体" w:cs="Times New Roman"/>
                <w:color w:val="000000"/>
                <w:sz w:val="18"/>
                <w:szCs w:val="18"/>
              </w:rPr>
            </w:pPr>
          </w:p>
        </w:tc>
      </w:tr>
      <w:tr>
        <w:tblPrEx>
          <w:tblCellMar>
            <w:top w:w="15" w:type="dxa"/>
            <w:left w:w="15" w:type="dxa"/>
            <w:bottom w:w="15" w:type="dxa"/>
            <w:right w:w="15" w:type="dxa"/>
          </w:tblCellMar>
        </w:tblPrEx>
        <w:trPr>
          <w:trHeight w:val="450" w:hRule="atLeast"/>
          <w:jc w:val="center"/>
        </w:trPr>
        <w:tc>
          <w:tcPr>
            <w:tcW w:w="311"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p>
        </w:tc>
        <w:tc>
          <w:tcPr>
            <w:tcW w:w="953"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三、教学质量与教学改革项目</w:t>
            </w:r>
          </w:p>
        </w:tc>
        <w:tc>
          <w:tcPr>
            <w:tcW w:w="138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2023.01-2025.12</w:t>
            </w:r>
          </w:p>
        </w:tc>
        <w:tc>
          <w:tcPr>
            <w:tcW w:w="4449"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bCs/>
                <w:color w:val="000000"/>
                <w:sz w:val="18"/>
                <w:szCs w:val="18"/>
              </w:rPr>
            </w:pPr>
            <w:r>
              <w:rPr>
                <w:rFonts w:hint="eastAsia" w:ascii="Times New Roman" w:hAnsi="Times New Roman" w:eastAsia="宋体" w:cs="Times New Roman"/>
                <w:bCs/>
                <w:color w:val="000000"/>
                <w:sz w:val="18"/>
                <w:szCs w:val="18"/>
              </w:rPr>
              <w:t>∕</w:t>
            </w:r>
          </w:p>
        </w:tc>
        <w:tc>
          <w:tcPr>
            <w:tcW w:w="437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bCs/>
                <w:color w:val="000000"/>
                <w:sz w:val="18"/>
                <w:szCs w:val="18"/>
              </w:rPr>
            </w:pPr>
            <w:r>
              <w:rPr>
                <w:rFonts w:hint="eastAsia" w:ascii="Times New Roman" w:hAnsi="Times New Roman" w:eastAsia="宋体" w:cs="Times New Roman"/>
                <w:bCs/>
                <w:color w:val="000000"/>
                <w:sz w:val="18"/>
                <w:szCs w:val="18"/>
              </w:rPr>
              <w:t>∕</w:t>
            </w:r>
          </w:p>
        </w:tc>
        <w:tc>
          <w:tcPr>
            <w:tcW w:w="492" w:type="dxa"/>
            <w:gridSpan w:val="2"/>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3040</w:t>
            </w:r>
          </w:p>
        </w:tc>
        <w:tc>
          <w:tcPr>
            <w:tcW w:w="648"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814</w:t>
            </w:r>
          </w:p>
        </w:tc>
        <w:tc>
          <w:tcPr>
            <w:tcW w:w="576"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1003</w:t>
            </w:r>
          </w:p>
        </w:tc>
        <w:tc>
          <w:tcPr>
            <w:tcW w:w="576"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1223</w:t>
            </w:r>
          </w:p>
        </w:tc>
        <w:tc>
          <w:tcPr>
            <w:tcW w:w="58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p>
        </w:tc>
      </w:tr>
      <w:tr>
        <w:tblPrEx>
          <w:tblCellMar>
            <w:top w:w="15" w:type="dxa"/>
            <w:left w:w="15" w:type="dxa"/>
            <w:bottom w:w="15" w:type="dxa"/>
            <w:right w:w="15" w:type="dxa"/>
          </w:tblCellMar>
        </w:tblPrEx>
        <w:trPr>
          <w:trHeight w:val="286" w:hRule="atLeast"/>
          <w:jc w:val="center"/>
        </w:trPr>
        <w:tc>
          <w:tcPr>
            <w:tcW w:w="311"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w:t>
            </w:r>
            <w:r>
              <w:rPr>
                <w:rFonts w:hint="eastAsia" w:ascii="Times New Roman" w:hAnsi="Times New Roman" w:eastAsia="宋体" w:cs="Times New Roman"/>
                <w:color w:val="000000"/>
                <w:sz w:val="18"/>
                <w:szCs w:val="18"/>
              </w:rPr>
              <w:t>1</w:t>
            </w:r>
          </w:p>
        </w:tc>
        <w:tc>
          <w:tcPr>
            <w:tcW w:w="953"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办学定位与专业设置适应度提升项目</w:t>
            </w:r>
          </w:p>
        </w:tc>
        <w:tc>
          <w:tcPr>
            <w:tcW w:w="138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2023.01-2025.</w:t>
            </w:r>
            <w:r>
              <w:rPr>
                <w:rFonts w:hint="eastAsia" w:ascii="Times New Roman" w:hAnsi="Times New Roman" w:eastAsia="宋体" w:cs="Times New Roman"/>
                <w:color w:val="000000"/>
                <w:sz w:val="18"/>
                <w:szCs w:val="18"/>
              </w:rPr>
              <w:t>12</w:t>
            </w:r>
          </w:p>
        </w:tc>
        <w:tc>
          <w:tcPr>
            <w:tcW w:w="4449"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bCs/>
                <w:color w:val="000000"/>
                <w:sz w:val="18"/>
                <w:szCs w:val="18"/>
              </w:rPr>
            </w:pPr>
            <w:r>
              <w:rPr>
                <w:rFonts w:hint="eastAsia" w:ascii="Times New Roman" w:hAnsi="Times New Roman" w:eastAsia="宋体" w:cs="Times New Roman"/>
                <w:bCs/>
                <w:color w:val="000000"/>
                <w:sz w:val="18"/>
                <w:szCs w:val="18"/>
              </w:rPr>
              <w:t>坚持学校办学服务高端制造和产业高端，服务乡村振兴，完善专业群建设发展机制，优化专业预警和动态调整机制，提升人才培养质量。</w:t>
            </w:r>
          </w:p>
        </w:tc>
        <w:tc>
          <w:tcPr>
            <w:tcW w:w="437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bCs/>
                <w:color w:val="000000"/>
                <w:sz w:val="18"/>
                <w:szCs w:val="18"/>
              </w:rPr>
            </w:pPr>
            <w:r>
              <w:rPr>
                <w:rFonts w:hint="eastAsia" w:ascii="Times New Roman" w:hAnsi="Times New Roman" w:eastAsia="宋体" w:cs="Times New Roman"/>
                <w:bCs/>
                <w:color w:val="000000"/>
                <w:sz w:val="18"/>
                <w:szCs w:val="18"/>
              </w:rPr>
              <w:t>坚持办学定位，突出理工科特色，确保专业设置100%匹配区域经济发展，做好专业群和专业的动态调整。</w:t>
            </w:r>
          </w:p>
        </w:tc>
        <w:tc>
          <w:tcPr>
            <w:tcW w:w="492" w:type="dxa"/>
            <w:gridSpan w:val="2"/>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6</w:t>
            </w:r>
          </w:p>
        </w:tc>
        <w:tc>
          <w:tcPr>
            <w:tcW w:w="648"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0</w:t>
            </w:r>
          </w:p>
        </w:tc>
        <w:tc>
          <w:tcPr>
            <w:tcW w:w="576"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3</w:t>
            </w:r>
          </w:p>
        </w:tc>
        <w:tc>
          <w:tcPr>
            <w:tcW w:w="576"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3</w:t>
            </w:r>
          </w:p>
        </w:tc>
        <w:tc>
          <w:tcPr>
            <w:tcW w:w="58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p>
        </w:tc>
      </w:tr>
      <w:tr>
        <w:tblPrEx>
          <w:tblCellMar>
            <w:top w:w="15" w:type="dxa"/>
            <w:left w:w="15" w:type="dxa"/>
            <w:bottom w:w="15" w:type="dxa"/>
            <w:right w:w="15" w:type="dxa"/>
          </w:tblCellMar>
        </w:tblPrEx>
        <w:trPr>
          <w:trHeight w:val="286" w:hRule="atLeast"/>
          <w:jc w:val="center"/>
        </w:trPr>
        <w:tc>
          <w:tcPr>
            <w:tcW w:w="311"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w:t>
            </w:r>
            <w:r>
              <w:rPr>
                <w:rFonts w:hint="eastAsia" w:ascii="Times New Roman" w:hAnsi="Times New Roman" w:eastAsia="宋体" w:cs="Times New Roman"/>
                <w:color w:val="000000"/>
                <w:sz w:val="18"/>
                <w:szCs w:val="18"/>
              </w:rPr>
              <w:t>2</w:t>
            </w:r>
          </w:p>
        </w:tc>
        <w:tc>
          <w:tcPr>
            <w:tcW w:w="953"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中高本贯通培养项目</w:t>
            </w:r>
          </w:p>
        </w:tc>
        <w:tc>
          <w:tcPr>
            <w:tcW w:w="138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2023.01-2025.</w:t>
            </w:r>
            <w:r>
              <w:rPr>
                <w:rFonts w:hint="eastAsia" w:ascii="Times New Roman" w:hAnsi="Times New Roman" w:eastAsia="宋体" w:cs="Times New Roman"/>
                <w:color w:val="000000"/>
                <w:sz w:val="18"/>
                <w:szCs w:val="18"/>
              </w:rPr>
              <w:t>12</w:t>
            </w:r>
          </w:p>
        </w:tc>
        <w:tc>
          <w:tcPr>
            <w:tcW w:w="4449" w:type="dxa"/>
            <w:tcBorders>
              <w:top w:val="single" w:color="000000" w:sz="4" w:space="0"/>
              <w:left w:val="single" w:color="000000" w:sz="4" w:space="0"/>
              <w:bottom w:val="single" w:color="000000" w:sz="4" w:space="0"/>
              <w:right w:val="single" w:color="000000" w:sz="4" w:space="0"/>
            </w:tcBorders>
            <w:vAlign w:val="center"/>
          </w:tcPr>
          <w:p>
            <w:pPr>
              <w:jc w:val="left"/>
              <w:rPr>
                <w:rFonts w:ascii="Times New Roman" w:hAnsi="Times New Roman" w:eastAsia="宋体" w:cs="Times New Roman"/>
                <w:bCs/>
                <w:color w:val="000000"/>
                <w:sz w:val="18"/>
                <w:szCs w:val="18"/>
              </w:rPr>
            </w:pPr>
            <w:r>
              <w:rPr>
                <w:rFonts w:hint="eastAsia" w:ascii="Times New Roman" w:hAnsi="Times New Roman" w:eastAsia="宋体" w:cs="Times New Roman"/>
                <w:bCs/>
                <w:color w:val="000000"/>
                <w:sz w:val="18"/>
                <w:szCs w:val="18"/>
              </w:rPr>
              <w:t>聚力推动中高本贯通发展，依托学校雄厚的师资力量和教学资源，计划扩大中高职三二分段录取规模，以强化中高贯通培养三二分段计划，积极争取专本协同育人试点，进一步提升职业教育的整体水平和效益。</w:t>
            </w:r>
          </w:p>
        </w:tc>
        <w:tc>
          <w:tcPr>
            <w:tcW w:w="4370" w:type="dxa"/>
            <w:tcBorders>
              <w:top w:val="single" w:color="000000" w:sz="4" w:space="0"/>
              <w:left w:val="single" w:color="000000" w:sz="4" w:space="0"/>
              <w:bottom w:val="single" w:color="000000" w:sz="4" w:space="0"/>
              <w:right w:val="single" w:color="000000" w:sz="4" w:space="0"/>
            </w:tcBorders>
            <w:vAlign w:val="center"/>
          </w:tcPr>
          <w:p>
            <w:pPr>
              <w:jc w:val="left"/>
              <w:rPr>
                <w:rFonts w:ascii="Times New Roman" w:hAnsi="Times New Roman" w:eastAsia="宋体" w:cs="Times New Roman"/>
                <w:bCs/>
                <w:color w:val="000000"/>
                <w:sz w:val="18"/>
                <w:szCs w:val="18"/>
              </w:rPr>
            </w:pPr>
            <w:r>
              <w:rPr>
                <w:rFonts w:hint="eastAsia" w:ascii="Times New Roman" w:hAnsi="Times New Roman" w:eastAsia="宋体" w:cs="Times New Roman"/>
                <w:bCs/>
                <w:color w:val="000000"/>
                <w:sz w:val="18"/>
                <w:szCs w:val="18"/>
              </w:rPr>
              <w:t>积极争取专本协同育人试点，力争个别专业在先期开展三二分段专升本协同育人培养基础上，试点参与四年制本科协同育人培养。为更好地契合学校发展需求，规划2023年至2025年的中高职贯通培养三二分段计划目标，计划将录取规模扩大至650人，以强化中高贯通培养三二分段计划，进一步提升职业教育的整体水平和效益。</w:t>
            </w:r>
          </w:p>
        </w:tc>
        <w:tc>
          <w:tcPr>
            <w:tcW w:w="492" w:type="dxa"/>
            <w:gridSpan w:val="2"/>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300</w:t>
            </w:r>
          </w:p>
        </w:tc>
        <w:tc>
          <w:tcPr>
            <w:tcW w:w="648"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100</w:t>
            </w:r>
          </w:p>
        </w:tc>
        <w:tc>
          <w:tcPr>
            <w:tcW w:w="576"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100</w:t>
            </w:r>
          </w:p>
        </w:tc>
        <w:tc>
          <w:tcPr>
            <w:tcW w:w="576"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100</w:t>
            </w:r>
          </w:p>
        </w:tc>
        <w:tc>
          <w:tcPr>
            <w:tcW w:w="58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p>
        </w:tc>
      </w:tr>
      <w:tr>
        <w:tblPrEx>
          <w:tblCellMar>
            <w:top w:w="15" w:type="dxa"/>
            <w:left w:w="15" w:type="dxa"/>
            <w:bottom w:w="15" w:type="dxa"/>
            <w:right w:w="15" w:type="dxa"/>
          </w:tblCellMar>
        </w:tblPrEx>
        <w:trPr>
          <w:trHeight w:val="286" w:hRule="atLeast"/>
          <w:jc w:val="center"/>
        </w:trPr>
        <w:tc>
          <w:tcPr>
            <w:tcW w:w="311"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w:t>
            </w:r>
            <w:r>
              <w:rPr>
                <w:rFonts w:hint="eastAsia" w:ascii="Times New Roman" w:hAnsi="Times New Roman" w:eastAsia="宋体" w:cs="Times New Roman"/>
                <w:color w:val="000000"/>
                <w:sz w:val="18"/>
                <w:szCs w:val="18"/>
              </w:rPr>
              <w:t>3</w:t>
            </w:r>
          </w:p>
        </w:tc>
        <w:tc>
          <w:tcPr>
            <w:tcW w:w="953"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高水平职业院校建设项目</w:t>
            </w:r>
          </w:p>
        </w:tc>
        <w:tc>
          <w:tcPr>
            <w:tcW w:w="138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2023.01-2025.</w:t>
            </w:r>
            <w:r>
              <w:rPr>
                <w:rFonts w:hint="eastAsia" w:ascii="Times New Roman" w:hAnsi="Times New Roman" w:eastAsia="宋体" w:cs="Times New Roman"/>
                <w:color w:val="000000"/>
                <w:sz w:val="18"/>
                <w:szCs w:val="18"/>
              </w:rPr>
              <w:t>12</w:t>
            </w:r>
          </w:p>
        </w:tc>
        <w:tc>
          <w:tcPr>
            <w:tcW w:w="4449"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left"/>
              <w:rPr>
                <w:rFonts w:ascii="Times New Roman" w:hAnsi="Times New Roman" w:eastAsia="宋体" w:cs="Times New Roman"/>
                <w:bCs/>
                <w:color w:val="000000"/>
                <w:sz w:val="18"/>
                <w:szCs w:val="18"/>
              </w:rPr>
            </w:pPr>
            <w:r>
              <w:rPr>
                <w:rFonts w:hint="eastAsia" w:ascii="Times New Roman" w:hAnsi="Times New Roman" w:eastAsia="宋体" w:cs="Times New Roman"/>
                <w:bCs/>
                <w:color w:val="000000"/>
                <w:sz w:val="18"/>
                <w:szCs w:val="18"/>
              </w:rPr>
              <w:t>发挥学校党委领导核心和政治核心作用，以立德树人，培养“德智体美劳”全面发展的高端技术技能人才为目标，以应用电子技术专业群建设作为引擎，聚焦“人才培养、专业（群）建设、社会服务、师资队伍”四个打造，推进高水平高职学校建设。</w:t>
            </w:r>
          </w:p>
        </w:tc>
        <w:tc>
          <w:tcPr>
            <w:tcW w:w="4370"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left"/>
              <w:rPr>
                <w:rFonts w:ascii="Times New Roman" w:hAnsi="Times New Roman" w:eastAsia="宋体" w:cs="Times New Roman"/>
                <w:bCs/>
                <w:color w:val="000000"/>
                <w:sz w:val="18"/>
                <w:szCs w:val="18"/>
              </w:rPr>
            </w:pPr>
            <w:r>
              <w:rPr>
                <w:rFonts w:hint="eastAsia" w:ascii="Times New Roman" w:hAnsi="Times New Roman" w:eastAsia="宋体" w:cs="Times New Roman"/>
                <w:bCs/>
                <w:color w:val="000000"/>
                <w:sz w:val="18"/>
                <w:szCs w:val="18"/>
              </w:rPr>
              <w:t>到2025年，把学校建设成为立足惠州，面向粤港澳大湾区，服务电子信息产业转型升级，助力乡村振兴，办学实力强，人才培养质量高，示范引领作用突出的省一流、全国有影响、国际可交流的高职院校。</w:t>
            </w:r>
          </w:p>
        </w:tc>
        <w:tc>
          <w:tcPr>
            <w:tcW w:w="492" w:type="dxa"/>
            <w:gridSpan w:val="2"/>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900</w:t>
            </w:r>
          </w:p>
        </w:tc>
        <w:tc>
          <w:tcPr>
            <w:tcW w:w="648"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300</w:t>
            </w:r>
          </w:p>
        </w:tc>
        <w:tc>
          <w:tcPr>
            <w:tcW w:w="576"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300</w:t>
            </w:r>
          </w:p>
        </w:tc>
        <w:tc>
          <w:tcPr>
            <w:tcW w:w="576"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300</w:t>
            </w:r>
          </w:p>
        </w:tc>
        <w:tc>
          <w:tcPr>
            <w:tcW w:w="58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p>
        </w:tc>
      </w:tr>
      <w:tr>
        <w:tblPrEx>
          <w:tblCellMar>
            <w:top w:w="15" w:type="dxa"/>
            <w:left w:w="15" w:type="dxa"/>
            <w:bottom w:w="15" w:type="dxa"/>
            <w:right w:w="15" w:type="dxa"/>
          </w:tblCellMar>
        </w:tblPrEx>
        <w:trPr>
          <w:trHeight w:val="286" w:hRule="atLeast"/>
          <w:jc w:val="center"/>
        </w:trPr>
        <w:tc>
          <w:tcPr>
            <w:tcW w:w="311"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w:t>
            </w:r>
            <w:r>
              <w:rPr>
                <w:rFonts w:hint="eastAsia" w:ascii="Times New Roman" w:hAnsi="Times New Roman" w:eastAsia="宋体" w:cs="Times New Roman"/>
                <w:color w:val="000000"/>
                <w:sz w:val="18"/>
                <w:szCs w:val="18"/>
              </w:rPr>
              <w:t>4</w:t>
            </w:r>
          </w:p>
        </w:tc>
        <w:tc>
          <w:tcPr>
            <w:tcW w:w="953"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高水平专业群建设项目</w:t>
            </w:r>
          </w:p>
        </w:tc>
        <w:tc>
          <w:tcPr>
            <w:tcW w:w="138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2023.01-2025.</w:t>
            </w:r>
            <w:r>
              <w:rPr>
                <w:rFonts w:hint="eastAsia" w:ascii="Times New Roman" w:hAnsi="Times New Roman" w:eastAsia="宋体" w:cs="Times New Roman"/>
                <w:color w:val="000000"/>
                <w:sz w:val="18"/>
                <w:szCs w:val="18"/>
              </w:rPr>
              <w:t>12</w:t>
            </w:r>
          </w:p>
        </w:tc>
        <w:tc>
          <w:tcPr>
            <w:tcW w:w="4449"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bCs/>
                <w:color w:val="000000"/>
                <w:sz w:val="18"/>
                <w:szCs w:val="18"/>
              </w:rPr>
            </w:pPr>
            <w:r>
              <w:rPr>
                <w:rFonts w:hint="eastAsia" w:ascii="Times New Roman" w:hAnsi="Times New Roman" w:eastAsia="宋体" w:cs="Times New Roman"/>
                <w:bCs/>
                <w:color w:val="000000"/>
                <w:sz w:val="18"/>
                <w:szCs w:val="18"/>
              </w:rPr>
              <w:t>构建服务“智能工厂”的专业集群； 创新专业群建设模式； 提升专业群建设内涵； 完善专业群动态调整机制</w:t>
            </w:r>
          </w:p>
        </w:tc>
        <w:tc>
          <w:tcPr>
            <w:tcW w:w="437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bCs/>
                <w:color w:val="000000"/>
                <w:sz w:val="18"/>
                <w:szCs w:val="18"/>
              </w:rPr>
            </w:pPr>
            <w:r>
              <w:rPr>
                <w:rFonts w:hint="eastAsia" w:ascii="Times New Roman" w:hAnsi="Times New Roman" w:eastAsia="宋体" w:cs="Times New Roman"/>
                <w:bCs/>
                <w:color w:val="000000"/>
                <w:sz w:val="18"/>
                <w:szCs w:val="18"/>
              </w:rPr>
              <w:t>顺利完成2个省级专业群验收。完善专业群动态调整机制，新增1个校级专业群。建成省级教学资源库2个，认定省级在线精品开放课程3门，出版3部电子教材，认定2部省级规划教材，开发110门模块化课程。人才培养质量诊断改进方案学习调研5次，修订专业群预算支出管理办法，督查专项经费使用执行情况，专业群可持续发展经验总结与推广。</w:t>
            </w:r>
          </w:p>
        </w:tc>
        <w:tc>
          <w:tcPr>
            <w:tcW w:w="492" w:type="dxa"/>
            <w:gridSpan w:val="2"/>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882</w:t>
            </w:r>
          </w:p>
        </w:tc>
        <w:tc>
          <w:tcPr>
            <w:tcW w:w="648"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300</w:t>
            </w:r>
          </w:p>
        </w:tc>
        <w:tc>
          <w:tcPr>
            <w:tcW w:w="576"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282</w:t>
            </w:r>
          </w:p>
        </w:tc>
        <w:tc>
          <w:tcPr>
            <w:tcW w:w="576"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300</w:t>
            </w:r>
          </w:p>
        </w:tc>
        <w:tc>
          <w:tcPr>
            <w:tcW w:w="58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p>
        </w:tc>
      </w:tr>
      <w:tr>
        <w:tblPrEx>
          <w:tblCellMar>
            <w:top w:w="15" w:type="dxa"/>
            <w:left w:w="15" w:type="dxa"/>
            <w:bottom w:w="15" w:type="dxa"/>
            <w:right w:w="15" w:type="dxa"/>
          </w:tblCellMar>
        </w:tblPrEx>
        <w:trPr>
          <w:trHeight w:val="286" w:hRule="atLeast"/>
          <w:jc w:val="center"/>
        </w:trPr>
        <w:tc>
          <w:tcPr>
            <w:tcW w:w="311"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w:t>
            </w:r>
            <w:r>
              <w:rPr>
                <w:rFonts w:hint="eastAsia" w:ascii="Times New Roman" w:hAnsi="Times New Roman" w:eastAsia="宋体" w:cs="Times New Roman"/>
                <w:color w:val="000000"/>
                <w:sz w:val="18"/>
                <w:szCs w:val="18"/>
              </w:rPr>
              <w:t>5</w:t>
            </w:r>
          </w:p>
        </w:tc>
        <w:tc>
          <w:tcPr>
            <w:tcW w:w="953"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1+X证书制度试点项目</w:t>
            </w:r>
          </w:p>
        </w:tc>
        <w:tc>
          <w:tcPr>
            <w:tcW w:w="138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2023.01-2025.</w:t>
            </w:r>
            <w:r>
              <w:rPr>
                <w:rFonts w:hint="eastAsia" w:ascii="Times New Roman" w:hAnsi="Times New Roman" w:eastAsia="宋体" w:cs="Times New Roman"/>
                <w:color w:val="000000"/>
                <w:sz w:val="18"/>
                <w:szCs w:val="18"/>
              </w:rPr>
              <w:t>12</w:t>
            </w:r>
          </w:p>
        </w:tc>
        <w:tc>
          <w:tcPr>
            <w:tcW w:w="4449" w:type="dxa"/>
            <w:tcBorders>
              <w:top w:val="single" w:color="000000" w:sz="4" w:space="0"/>
              <w:left w:val="single" w:color="000000" w:sz="4" w:space="0"/>
              <w:bottom w:val="single" w:color="000000" w:sz="4" w:space="0"/>
              <w:right w:val="single" w:color="000000" w:sz="4" w:space="0"/>
            </w:tcBorders>
            <w:vAlign w:val="center"/>
          </w:tcPr>
          <w:p>
            <w:pPr>
              <w:jc w:val="left"/>
              <w:rPr>
                <w:rFonts w:ascii="Times New Roman" w:hAnsi="Times New Roman" w:eastAsia="宋体" w:cs="Times New Roman"/>
                <w:bCs/>
                <w:color w:val="000000"/>
                <w:sz w:val="18"/>
                <w:szCs w:val="18"/>
              </w:rPr>
            </w:pPr>
            <w:r>
              <w:rPr>
                <w:rFonts w:hint="eastAsia" w:ascii="Times New Roman" w:hAnsi="Times New Roman" w:eastAsia="宋体" w:cs="Times New Roman"/>
                <w:bCs/>
                <w:color w:val="000000"/>
                <w:sz w:val="18"/>
                <w:szCs w:val="18"/>
              </w:rPr>
              <w:t>全面优化1+X</w:t>
            </w:r>
            <w:r>
              <w:rPr>
                <w:rFonts w:hint="eastAsia" w:ascii="MS Mincho" w:hAnsi="MS Mincho" w:eastAsia="MS Mincho" w:cs="MS Mincho"/>
                <w:bCs/>
                <w:color w:val="000000"/>
                <w:sz w:val="18"/>
                <w:szCs w:val="18"/>
              </w:rPr>
              <w:t>‛</w:t>
            </w:r>
            <w:r>
              <w:rPr>
                <w:rFonts w:hint="eastAsia" w:ascii="宋体" w:hAnsi="宋体" w:eastAsia="宋体" w:cs="宋体"/>
                <w:bCs/>
                <w:color w:val="000000"/>
                <w:sz w:val="18"/>
                <w:szCs w:val="18"/>
              </w:rPr>
              <w:t>证书的配套制度，完善</w:t>
            </w:r>
            <w:r>
              <w:rPr>
                <w:rFonts w:hint="eastAsia" w:ascii="Times New Roman" w:hAnsi="Times New Roman" w:eastAsia="宋体" w:cs="Times New Roman"/>
                <w:bCs/>
                <w:color w:val="000000"/>
                <w:sz w:val="18"/>
                <w:szCs w:val="18"/>
              </w:rPr>
              <w:t>学分银行制度、学分互认</w:t>
            </w:r>
            <w:r>
              <w:rPr>
                <w:rFonts w:hint="eastAsia" w:ascii="Times New Roman" w:hAnsi="Times New Roman" w:eastAsia="宋体" w:cs="Times New Roman"/>
                <w:bCs/>
                <w:color w:val="000000"/>
                <w:sz w:val="18"/>
                <w:szCs w:val="18"/>
                <w:lang w:eastAsia="zh-CN"/>
              </w:rPr>
              <w:t>制度</w:t>
            </w:r>
            <w:r>
              <w:rPr>
                <w:rFonts w:hint="eastAsia" w:ascii="Times New Roman" w:hAnsi="Times New Roman" w:eastAsia="宋体" w:cs="Times New Roman"/>
                <w:bCs/>
                <w:color w:val="000000"/>
                <w:sz w:val="18"/>
                <w:szCs w:val="18"/>
              </w:rPr>
              <w:t>等； 联合研究机构、第三方机构及企业，开发职业技能等级标准，力争新增参与2个职业技能等级标准；各专业群对接职业技能等级标准，进行课程设计，实现课证融通；主动与职业教育培训评价组织开展合作，通过建立标准与完备的软硬件条件，在5个专业群中构建职业技能等级证书培训与评价的省级基地。</w:t>
            </w:r>
          </w:p>
        </w:tc>
        <w:tc>
          <w:tcPr>
            <w:tcW w:w="4370" w:type="dxa"/>
            <w:tcBorders>
              <w:top w:val="single" w:color="000000" w:sz="4" w:space="0"/>
              <w:left w:val="single" w:color="000000" w:sz="4" w:space="0"/>
              <w:bottom w:val="single" w:color="000000" w:sz="4" w:space="0"/>
              <w:right w:val="single" w:color="000000" w:sz="4" w:space="0"/>
            </w:tcBorders>
            <w:vAlign w:val="center"/>
          </w:tcPr>
          <w:p>
            <w:pPr>
              <w:jc w:val="left"/>
              <w:rPr>
                <w:rFonts w:ascii="Times New Roman" w:hAnsi="Times New Roman" w:eastAsia="宋体" w:cs="Times New Roman"/>
                <w:bCs/>
                <w:color w:val="000000"/>
                <w:sz w:val="18"/>
                <w:szCs w:val="18"/>
              </w:rPr>
            </w:pPr>
            <w:r>
              <w:rPr>
                <w:rFonts w:hint="eastAsia" w:ascii="Times New Roman" w:hAnsi="Times New Roman" w:eastAsia="宋体" w:cs="Times New Roman"/>
                <w:bCs/>
                <w:color w:val="000000"/>
                <w:sz w:val="18"/>
                <w:szCs w:val="18"/>
              </w:rPr>
              <w:t>到2025年实现专业群课程体系100%做到书证融通，形成一套完善的“学分银行”体系，1+X证书试点专业毕业生多技能证书获取率超过80%，力争新增参与开发5个职业技能等级标准，推进2个多证书评价综合基地建设。</w:t>
            </w:r>
          </w:p>
        </w:tc>
        <w:tc>
          <w:tcPr>
            <w:tcW w:w="492" w:type="dxa"/>
            <w:gridSpan w:val="2"/>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32</w:t>
            </w:r>
          </w:p>
        </w:tc>
        <w:tc>
          <w:tcPr>
            <w:tcW w:w="648"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2</w:t>
            </w:r>
          </w:p>
        </w:tc>
        <w:tc>
          <w:tcPr>
            <w:tcW w:w="576"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15</w:t>
            </w:r>
          </w:p>
        </w:tc>
        <w:tc>
          <w:tcPr>
            <w:tcW w:w="576"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15</w:t>
            </w:r>
          </w:p>
        </w:tc>
        <w:tc>
          <w:tcPr>
            <w:tcW w:w="58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p>
        </w:tc>
      </w:tr>
      <w:tr>
        <w:tblPrEx>
          <w:tblCellMar>
            <w:top w:w="15" w:type="dxa"/>
            <w:left w:w="15" w:type="dxa"/>
            <w:bottom w:w="15" w:type="dxa"/>
            <w:right w:w="15" w:type="dxa"/>
          </w:tblCellMar>
        </w:tblPrEx>
        <w:trPr>
          <w:trHeight w:val="286" w:hRule="atLeast"/>
          <w:jc w:val="center"/>
        </w:trPr>
        <w:tc>
          <w:tcPr>
            <w:tcW w:w="311"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w:t>
            </w:r>
            <w:r>
              <w:rPr>
                <w:rFonts w:hint="eastAsia" w:ascii="Times New Roman" w:hAnsi="Times New Roman" w:eastAsia="宋体" w:cs="Times New Roman"/>
                <w:color w:val="000000"/>
                <w:sz w:val="18"/>
                <w:szCs w:val="18"/>
              </w:rPr>
              <w:t>6</w:t>
            </w:r>
          </w:p>
        </w:tc>
        <w:tc>
          <w:tcPr>
            <w:tcW w:w="953"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创新创业与专业教育融合发展项目</w:t>
            </w:r>
          </w:p>
        </w:tc>
        <w:tc>
          <w:tcPr>
            <w:tcW w:w="138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2023.01-2025.</w:t>
            </w:r>
            <w:r>
              <w:rPr>
                <w:rFonts w:hint="eastAsia" w:ascii="Times New Roman" w:hAnsi="Times New Roman" w:eastAsia="宋体" w:cs="Times New Roman"/>
                <w:color w:val="000000"/>
                <w:sz w:val="18"/>
                <w:szCs w:val="18"/>
              </w:rPr>
              <w:t>12</w:t>
            </w:r>
          </w:p>
        </w:tc>
        <w:tc>
          <w:tcPr>
            <w:tcW w:w="4449" w:type="dxa"/>
            <w:tcBorders>
              <w:top w:val="single" w:color="000000" w:sz="4" w:space="0"/>
              <w:left w:val="single" w:color="000000" w:sz="4" w:space="0"/>
              <w:bottom w:val="single" w:color="000000" w:sz="4" w:space="0"/>
              <w:right w:val="single" w:color="000000" w:sz="4" w:space="0"/>
            </w:tcBorders>
            <w:vAlign w:val="center"/>
          </w:tcPr>
          <w:p>
            <w:pPr>
              <w:jc w:val="left"/>
              <w:rPr>
                <w:rFonts w:ascii="Times New Roman" w:hAnsi="Times New Roman" w:eastAsia="宋体" w:cs="Times New Roman"/>
                <w:bCs/>
                <w:color w:val="000000"/>
                <w:sz w:val="18"/>
                <w:szCs w:val="18"/>
              </w:rPr>
            </w:pPr>
            <w:r>
              <w:rPr>
                <w:rFonts w:hint="eastAsia" w:ascii="Times New Roman" w:hAnsi="Times New Roman" w:eastAsia="宋体" w:cs="Times New Roman"/>
                <w:bCs/>
                <w:color w:val="000000"/>
                <w:sz w:val="18"/>
                <w:szCs w:val="18"/>
              </w:rPr>
              <w:t>通过修订人才培养方案、打造创新创业教育课程体系、强化实践教学和创新创业竞赛、开展创新创业实践等方面提升创新创业教育质量，着力构建“四维度、四阶段、四融合”创新创业教育体系，努力培养大批富有创新精神、勇于投身实践的创新创业人才队伍</w:t>
            </w:r>
          </w:p>
        </w:tc>
        <w:tc>
          <w:tcPr>
            <w:tcW w:w="437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bCs/>
                <w:color w:val="000000"/>
                <w:sz w:val="18"/>
                <w:szCs w:val="18"/>
              </w:rPr>
            </w:pPr>
            <w:r>
              <w:rPr>
                <w:rFonts w:hint="eastAsia" w:ascii="Times New Roman" w:hAnsi="Times New Roman" w:eastAsia="宋体" w:cs="Times New Roman"/>
                <w:bCs/>
                <w:color w:val="000000"/>
                <w:sz w:val="18"/>
                <w:szCs w:val="18"/>
              </w:rPr>
              <w:t>将创新创业教育贯穿教育教学全过程，推动创新创业专门课程、创新创业品牌孵化基地和协同创新创业教育平台建设取得显著成效，成为省内创新创业教育改革新高地，为大湾区电子信息、智能智造等产业培养创新型高素质技术技能人才。建成具有示范性的创新创业教育孵化平台，培育孵化创新创业项目5项，获得“互联网+”“挑战杯”“创青春”等创新创业大赛国家级奖励1项、省级奖励10项，大学生自主创业或创办企业15家。建成以大学科技园为中心的政校企协同创新平台，在大湾区中起到积极的引领示范作用。</w:t>
            </w:r>
          </w:p>
        </w:tc>
        <w:tc>
          <w:tcPr>
            <w:tcW w:w="492" w:type="dxa"/>
            <w:gridSpan w:val="2"/>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400</w:t>
            </w:r>
          </w:p>
        </w:tc>
        <w:tc>
          <w:tcPr>
            <w:tcW w:w="648"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100</w:t>
            </w:r>
          </w:p>
        </w:tc>
        <w:tc>
          <w:tcPr>
            <w:tcW w:w="576"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100</w:t>
            </w:r>
          </w:p>
        </w:tc>
        <w:tc>
          <w:tcPr>
            <w:tcW w:w="576"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200</w:t>
            </w:r>
          </w:p>
        </w:tc>
        <w:tc>
          <w:tcPr>
            <w:tcW w:w="58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p>
        </w:tc>
      </w:tr>
      <w:tr>
        <w:tblPrEx>
          <w:tblCellMar>
            <w:top w:w="15" w:type="dxa"/>
            <w:left w:w="15" w:type="dxa"/>
            <w:bottom w:w="15" w:type="dxa"/>
            <w:right w:w="15" w:type="dxa"/>
          </w:tblCellMar>
        </w:tblPrEx>
        <w:trPr>
          <w:trHeight w:val="286" w:hRule="atLeast"/>
          <w:jc w:val="center"/>
        </w:trPr>
        <w:tc>
          <w:tcPr>
            <w:tcW w:w="311"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w:t>
            </w:r>
            <w:r>
              <w:rPr>
                <w:rFonts w:hint="eastAsia" w:ascii="Times New Roman" w:hAnsi="Times New Roman" w:eastAsia="宋体" w:cs="Times New Roman"/>
                <w:color w:val="000000"/>
                <w:sz w:val="18"/>
                <w:szCs w:val="18"/>
              </w:rPr>
              <w:t>7</w:t>
            </w:r>
          </w:p>
        </w:tc>
        <w:tc>
          <w:tcPr>
            <w:tcW w:w="953"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校院两级教学管理改革项目</w:t>
            </w:r>
          </w:p>
        </w:tc>
        <w:tc>
          <w:tcPr>
            <w:tcW w:w="138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2023.01-2025.</w:t>
            </w:r>
            <w:r>
              <w:rPr>
                <w:rFonts w:hint="eastAsia" w:ascii="Times New Roman" w:hAnsi="Times New Roman" w:eastAsia="宋体" w:cs="Times New Roman"/>
                <w:color w:val="000000"/>
                <w:sz w:val="18"/>
                <w:szCs w:val="18"/>
              </w:rPr>
              <w:t>12</w:t>
            </w:r>
          </w:p>
        </w:tc>
        <w:tc>
          <w:tcPr>
            <w:tcW w:w="4449" w:type="dxa"/>
            <w:tcBorders>
              <w:top w:val="single" w:color="000000" w:sz="4" w:space="0"/>
              <w:left w:val="single" w:color="000000" w:sz="4" w:space="0"/>
              <w:bottom w:val="single" w:color="000000" w:sz="4" w:space="0"/>
              <w:right w:val="single" w:color="000000" w:sz="4" w:space="0"/>
            </w:tcBorders>
            <w:vAlign w:val="center"/>
          </w:tcPr>
          <w:p>
            <w:pPr>
              <w:jc w:val="left"/>
              <w:rPr>
                <w:rFonts w:ascii="Times New Roman" w:hAnsi="Times New Roman" w:eastAsia="宋体" w:cs="Times New Roman"/>
                <w:bCs/>
                <w:color w:val="000000"/>
                <w:sz w:val="18"/>
                <w:szCs w:val="18"/>
              </w:rPr>
            </w:pPr>
            <w:r>
              <w:rPr>
                <w:rFonts w:hint="eastAsia" w:ascii="Times New Roman" w:hAnsi="Times New Roman" w:eastAsia="宋体" w:cs="Times New Roman"/>
                <w:bCs/>
                <w:color w:val="000000"/>
                <w:sz w:val="18"/>
                <w:szCs w:val="18"/>
              </w:rPr>
              <w:t>推进校院两级教学管理改革；探索结构化教学组织建设；成立教学工作指导委员会；加强人才培养方案的修订和执行；完善实践、实习教学管理与评价机制；精细化学生学籍管理过程。</w:t>
            </w:r>
          </w:p>
        </w:tc>
        <w:tc>
          <w:tcPr>
            <w:tcW w:w="4370" w:type="dxa"/>
            <w:tcBorders>
              <w:top w:val="single" w:color="000000" w:sz="4" w:space="0"/>
              <w:left w:val="single" w:color="000000" w:sz="4" w:space="0"/>
              <w:bottom w:val="single" w:color="000000" w:sz="4" w:space="0"/>
              <w:right w:val="single" w:color="000000" w:sz="4" w:space="0"/>
            </w:tcBorders>
            <w:vAlign w:val="center"/>
          </w:tcPr>
          <w:p>
            <w:pPr>
              <w:jc w:val="left"/>
              <w:rPr>
                <w:rFonts w:ascii="Times New Roman" w:hAnsi="Times New Roman" w:eastAsia="宋体" w:cs="Times New Roman"/>
                <w:bCs/>
                <w:color w:val="000000"/>
                <w:sz w:val="18"/>
                <w:szCs w:val="18"/>
              </w:rPr>
            </w:pPr>
            <w:r>
              <w:rPr>
                <w:rFonts w:hint="eastAsia" w:ascii="Times New Roman" w:hAnsi="Times New Roman" w:eastAsia="宋体" w:cs="Times New Roman"/>
                <w:bCs/>
                <w:color w:val="000000"/>
                <w:sz w:val="18"/>
                <w:szCs w:val="18"/>
              </w:rPr>
              <w:t>形成1套完成的两级教学管理体系，修订人才培养方案、实习、实践、学籍等校内制度，做好省厅教学检查工作，每年开展1次各层面的诊断工作，并形成诊断报告。</w:t>
            </w:r>
          </w:p>
        </w:tc>
        <w:tc>
          <w:tcPr>
            <w:tcW w:w="492" w:type="dxa"/>
            <w:gridSpan w:val="2"/>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10</w:t>
            </w:r>
          </w:p>
        </w:tc>
        <w:tc>
          <w:tcPr>
            <w:tcW w:w="648"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2</w:t>
            </w:r>
          </w:p>
        </w:tc>
        <w:tc>
          <w:tcPr>
            <w:tcW w:w="576"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3</w:t>
            </w:r>
          </w:p>
        </w:tc>
        <w:tc>
          <w:tcPr>
            <w:tcW w:w="576"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5</w:t>
            </w:r>
          </w:p>
        </w:tc>
        <w:tc>
          <w:tcPr>
            <w:tcW w:w="58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p>
        </w:tc>
      </w:tr>
      <w:tr>
        <w:tblPrEx>
          <w:tblCellMar>
            <w:top w:w="15" w:type="dxa"/>
            <w:left w:w="15" w:type="dxa"/>
            <w:bottom w:w="15" w:type="dxa"/>
            <w:right w:w="15" w:type="dxa"/>
          </w:tblCellMar>
        </w:tblPrEx>
        <w:trPr>
          <w:trHeight w:val="286" w:hRule="atLeast"/>
          <w:jc w:val="center"/>
        </w:trPr>
        <w:tc>
          <w:tcPr>
            <w:tcW w:w="311"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w:t>
            </w:r>
            <w:r>
              <w:rPr>
                <w:rFonts w:hint="eastAsia" w:ascii="Times New Roman" w:hAnsi="Times New Roman" w:eastAsia="宋体" w:cs="Times New Roman"/>
                <w:color w:val="000000"/>
                <w:sz w:val="18"/>
                <w:szCs w:val="18"/>
              </w:rPr>
              <w:t>8</w:t>
            </w:r>
          </w:p>
        </w:tc>
        <w:tc>
          <w:tcPr>
            <w:tcW w:w="953"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教学数字化转型项目</w:t>
            </w:r>
          </w:p>
        </w:tc>
        <w:tc>
          <w:tcPr>
            <w:tcW w:w="138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2023.01-2025.</w:t>
            </w:r>
            <w:r>
              <w:rPr>
                <w:rFonts w:hint="eastAsia" w:ascii="Times New Roman" w:hAnsi="Times New Roman" w:eastAsia="宋体" w:cs="Times New Roman"/>
                <w:color w:val="000000"/>
                <w:sz w:val="18"/>
                <w:szCs w:val="18"/>
              </w:rPr>
              <w:t>12</w:t>
            </w:r>
          </w:p>
        </w:tc>
        <w:tc>
          <w:tcPr>
            <w:tcW w:w="4449" w:type="dxa"/>
            <w:tcBorders>
              <w:top w:val="single" w:color="000000" w:sz="4" w:space="0"/>
              <w:left w:val="single" w:color="000000" w:sz="4" w:space="0"/>
              <w:bottom w:val="single" w:color="000000" w:sz="4" w:space="0"/>
              <w:right w:val="single" w:color="000000" w:sz="4" w:space="0"/>
            </w:tcBorders>
            <w:vAlign w:val="center"/>
          </w:tcPr>
          <w:p>
            <w:pPr>
              <w:jc w:val="left"/>
              <w:rPr>
                <w:rFonts w:ascii="Times New Roman" w:hAnsi="Times New Roman" w:eastAsia="宋体" w:cs="Times New Roman"/>
                <w:bCs/>
                <w:color w:val="000000"/>
                <w:sz w:val="18"/>
                <w:szCs w:val="18"/>
              </w:rPr>
            </w:pPr>
            <w:r>
              <w:rPr>
                <w:rFonts w:hint="eastAsia" w:ascii="Times New Roman" w:hAnsi="Times New Roman" w:eastAsia="宋体" w:cs="Times New Roman"/>
                <w:bCs/>
                <w:color w:val="000000"/>
                <w:sz w:val="18"/>
                <w:szCs w:val="18"/>
              </w:rPr>
              <w:t>建设一体化教学数字平台；</w:t>
            </w:r>
          </w:p>
          <w:p>
            <w:pPr>
              <w:jc w:val="left"/>
              <w:rPr>
                <w:rFonts w:ascii="Times New Roman" w:hAnsi="Times New Roman" w:eastAsia="宋体" w:cs="Times New Roman"/>
                <w:bCs/>
                <w:color w:val="000000"/>
                <w:sz w:val="18"/>
                <w:szCs w:val="18"/>
              </w:rPr>
            </w:pPr>
            <w:r>
              <w:rPr>
                <w:rFonts w:hint="eastAsia" w:ascii="Times New Roman" w:hAnsi="Times New Roman" w:eastAsia="宋体" w:cs="Times New Roman"/>
                <w:bCs/>
                <w:color w:val="000000"/>
                <w:sz w:val="18"/>
                <w:szCs w:val="18"/>
              </w:rPr>
              <w:t>实施资源建用“五个二十”计划</w:t>
            </w:r>
          </w:p>
        </w:tc>
        <w:tc>
          <w:tcPr>
            <w:tcW w:w="4370" w:type="dxa"/>
            <w:tcBorders>
              <w:top w:val="single" w:color="000000" w:sz="4" w:space="0"/>
              <w:left w:val="single" w:color="000000" w:sz="4" w:space="0"/>
              <w:bottom w:val="single" w:color="000000" w:sz="4" w:space="0"/>
              <w:right w:val="single" w:color="000000" w:sz="4" w:space="0"/>
            </w:tcBorders>
            <w:vAlign w:val="center"/>
          </w:tcPr>
          <w:p>
            <w:pPr>
              <w:jc w:val="left"/>
              <w:rPr>
                <w:rFonts w:ascii="Times New Roman" w:hAnsi="Times New Roman" w:eastAsia="宋体" w:cs="Times New Roman"/>
                <w:bCs/>
                <w:color w:val="000000"/>
                <w:sz w:val="18"/>
                <w:szCs w:val="18"/>
              </w:rPr>
            </w:pPr>
            <w:r>
              <w:rPr>
                <w:rFonts w:hint="eastAsia" w:ascii="Times New Roman" w:hAnsi="Times New Roman" w:eastAsia="宋体" w:cs="Times New Roman"/>
                <w:bCs/>
                <w:color w:val="000000"/>
                <w:sz w:val="18"/>
                <w:szCs w:val="18"/>
              </w:rPr>
              <w:t>完成国家级精品在线开放课程 2门和省级精品在线开放课程5门，力争获国家教师教学能力比赛获奖2项，省级教师教学能力比赛获奖10项；建设1个国家级专业教学资源库， 建设20个校级重点专业教学资源库；校级精品在线开放课程或课程群20门；数字教材 20本；教学改革案例20个；虚拟仿真实验教学项目20 项；校级示范课20堂</w:t>
            </w:r>
          </w:p>
        </w:tc>
        <w:tc>
          <w:tcPr>
            <w:tcW w:w="492" w:type="dxa"/>
            <w:gridSpan w:val="2"/>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510</w:t>
            </w:r>
          </w:p>
        </w:tc>
        <w:tc>
          <w:tcPr>
            <w:tcW w:w="648"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10</w:t>
            </w:r>
          </w:p>
        </w:tc>
        <w:tc>
          <w:tcPr>
            <w:tcW w:w="576"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200</w:t>
            </w:r>
          </w:p>
        </w:tc>
        <w:tc>
          <w:tcPr>
            <w:tcW w:w="576"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300</w:t>
            </w:r>
          </w:p>
        </w:tc>
        <w:tc>
          <w:tcPr>
            <w:tcW w:w="58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p>
        </w:tc>
      </w:tr>
      <w:tr>
        <w:tblPrEx>
          <w:tblCellMar>
            <w:top w:w="15" w:type="dxa"/>
            <w:left w:w="15" w:type="dxa"/>
            <w:bottom w:w="15" w:type="dxa"/>
            <w:right w:w="15" w:type="dxa"/>
          </w:tblCellMar>
        </w:tblPrEx>
        <w:trPr>
          <w:trHeight w:val="450" w:hRule="atLeast"/>
          <w:jc w:val="center"/>
        </w:trPr>
        <w:tc>
          <w:tcPr>
            <w:tcW w:w="311"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p>
        </w:tc>
        <w:tc>
          <w:tcPr>
            <w:tcW w:w="953"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四、教师队伍建设项目</w:t>
            </w:r>
          </w:p>
        </w:tc>
        <w:tc>
          <w:tcPr>
            <w:tcW w:w="138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2023.01-2025.12</w:t>
            </w:r>
          </w:p>
        </w:tc>
        <w:tc>
          <w:tcPr>
            <w:tcW w:w="4449"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bCs/>
                <w:color w:val="000000"/>
                <w:sz w:val="18"/>
                <w:szCs w:val="18"/>
              </w:rPr>
            </w:pPr>
            <w:r>
              <w:rPr>
                <w:rFonts w:hint="eastAsia" w:ascii="Times New Roman" w:hAnsi="Times New Roman" w:eastAsia="宋体" w:cs="Times New Roman"/>
                <w:bCs/>
                <w:color w:val="000000"/>
                <w:sz w:val="18"/>
                <w:szCs w:val="18"/>
              </w:rPr>
              <w:t>∕</w:t>
            </w:r>
          </w:p>
        </w:tc>
        <w:tc>
          <w:tcPr>
            <w:tcW w:w="437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bCs/>
                <w:color w:val="000000"/>
                <w:sz w:val="18"/>
                <w:szCs w:val="18"/>
              </w:rPr>
            </w:pPr>
            <w:r>
              <w:rPr>
                <w:rFonts w:hint="eastAsia" w:ascii="Times New Roman" w:hAnsi="Times New Roman" w:eastAsia="宋体" w:cs="Times New Roman"/>
                <w:bCs/>
                <w:color w:val="000000"/>
                <w:sz w:val="18"/>
                <w:szCs w:val="18"/>
              </w:rPr>
              <w:t>∕</w:t>
            </w:r>
          </w:p>
        </w:tc>
        <w:tc>
          <w:tcPr>
            <w:tcW w:w="492" w:type="dxa"/>
            <w:gridSpan w:val="2"/>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679</w:t>
            </w:r>
          </w:p>
        </w:tc>
        <w:tc>
          <w:tcPr>
            <w:tcW w:w="648"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154</w:t>
            </w:r>
          </w:p>
        </w:tc>
        <w:tc>
          <w:tcPr>
            <w:tcW w:w="576"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210</w:t>
            </w:r>
          </w:p>
        </w:tc>
        <w:tc>
          <w:tcPr>
            <w:tcW w:w="576"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315</w:t>
            </w:r>
          </w:p>
        </w:tc>
        <w:tc>
          <w:tcPr>
            <w:tcW w:w="58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p>
        </w:tc>
      </w:tr>
      <w:tr>
        <w:tblPrEx>
          <w:tblCellMar>
            <w:top w:w="15" w:type="dxa"/>
            <w:left w:w="15" w:type="dxa"/>
            <w:bottom w:w="15" w:type="dxa"/>
            <w:right w:w="15" w:type="dxa"/>
          </w:tblCellMar>
        </w:tblPrEx>
        <w:trPr>
          <w:trHeight w:val="286" w:hRule="atLeast"/>
          <w:jc w:val="center"/>
        </w:trPr>
        <w:tc>
          <w:tcPr>
            <w:tcW w:w="311"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4-1</w:t>
            </w:r>
          </w:p>
        </w:tc>
        <w:tc>
          <w:tcPr>
            <w:tcW w:w="953"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“双师型”专业教师队伍建设项目</w:t>
            </w:r>
          </w:p>
        </w:tc>
        <w:tc>
          <w:tcPr>
            <w:tcW w:w="138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2023.01-2025.12</w:t>
            </w:r>
          </w:p>
        </w:tc>
        <w:tc>
          <w:tcPr>
            <w:tcW w:w="4449" w:type="dxa"/>
            <w:tcBorders>
              <w:top w:val="single" w:color="000000" w:sz="4" w:space="0"/>
              <w:left w:val="single" w:color="000000" w:sz="4" w:space="0"/>
              <w:bottom w:val="single" w:color="000000" w:sz="4" w:space="0"/>
              <w:right w:val="single" w:color="000000" w:sz="4" w:space="0"/>
            </w:tcBorders>
            <w:vAlign w:val="center"/>
          </w:tcPr>
          <w:p>
            <w:pPr>
              <w:jc w:val="left"/>
              <w:rPr>
                <w:rFonts w:ascii="Times New Roman" w:hAnsi="Times New Roman" w:eastAsia="宋体" w:cs="Times New Roman"/>
                <w:bCs/>
                <w:color w:val="000000"/>
                <w:sz w:val="18"/>
                <w:szCs w:val="18"/>
              </w:rPr>
            </w:pPr>
            <w:r>
              <w:rPr>
                <w:rFonts w:hint="eastAsia" w:ascii="Times New Roman" w:hAnsi="Times New Roman" w:eastAsia="宋体" w:cs="Times New Roman"/>
                <w:bCs/>
                <w:color w:val="000000"/>
                <w:sz w:val="18"/>
                <w:szCs w:val="18"/>
              </w:rPr>
              <w:t>培育和认定校本“双师型”教师；引进具有企业实践经验的技能型“双师型”教师；合力打造国家、省级教学团队和技能大师工作室，实现“双师型”教师高质量“蜕变”，引领专业建设发展。</w:t>
            </w:r>
          </w:p>
        </w:tc>
        <w:tc>
          <w:tcPr>
            <w:tcW w:w="4370" w:type="dxa"/>
            <w:tcBorders>
              <w:top w:val="single" w:color="000000" w:sz="4" w:space="0"/>
              <w:left w:val="single" w:color="000000" w:sz="4" w:space="0"/>
              <w:bottom w:val="single" w:color="000000" w:sz="4" w:space="0"/>
              <w:right w:val="single" w:color="000000" w:sz="4" w:space="0"/>
            </w:tcBorders>
            <w:vAlign w:val="center"/>
          </w:tcPr>
          <w:p>
            <w:pPr>
              <w:jc w:val="left"/>
              <w:rPr>
                <w:rFonts w:ascii="Times New Roman" w:hAnsi="Times New Roman" w:eastAsia="宋体" w:cs="Times New Roman"/>
                <w:bCs/>
                <w:color w:val="000000"/>
                <w:sz w:val="18"/>
                <w:szCs w:val="18"/>
              </w:rPr>
            </w:pPr>
            <w:r>
              <w:rPr>
                <w:rFonts w:hint="eastAsia" w:ascii="Times New Roman" w:hAnsi="Times New Roman" w:eastAsia="宋体" w:cs="Times New Roman"/>
                <w:bCs/>
                <w:color w:val="000000"/>
                <w:sz w:val="18"/>
                <w:szCs w:val="18"/>
              </w:rPr>
              <w:t>打造国家级教学名师和教师团队1名（支），省级教学名师和教学团队2名（支），省级教学创新团队2支。建设省级技能大师工作室2个以上，示范性职工培训基地4个，引育高层次技能型兼职教师2名以上，专业（群）带头人5名。具备双师素质的教师占比达80%以上。</w:t>
            </w:r>
          </w:p>
        </w:tc>
        <w:tc>
          <w:tcPr>
            <w:tcW w:w="492" w:type="dxa"/>
            <w:gridSpan w:val="2"/>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350</w:t>
            </w:r>
          </w:p>
        </w:tc>
        <w:tc>
          <w:tcPr>
            <w:tcW w:w="648"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50</w:t>
            </w:r>
          </w:p>
        </w:tc>
        <w:tc>
          <w:tcPr>
            <w:tcW w:w="576"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100</w:t>
            </w:r>
          </w:p>
        </w:tc>
        <w:tc>
          <w:tcPr>
            <w:tcW w:w="576"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200</w:t>
            </w:r>
          </w:p>
        </w:tc>
        <w:tc>
          <w:tcPr>
            <w:tcW w:w="58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p>
        </w:tc>
      </w:tr>
      <w:tr>
        <w:tblPrEx>
          <w:tblCellMar>
            <w:top w:w="15" w:type="dxa"/>
            <w:left w:w="15" w:type="dxa"/>
            <w:bottom w:w="15" w:type="dxa"/>
            <w:right w:w="15" w:type="dxa"/>
          </w:tblCellMar>
        </w:tblPrEx>
        <w:trPr>
          <w:trHeight w:val="286" w:hRule="atLeast"/>
          <w:jc w:val="center"/>
        </w:trPr>
        <w:tc>
          <w:tcPr>
            <w:tcW w:w="311"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4-2</w:t>
            </w:r>
          </w:p>
        </w:tc>
        <w:tc>
          <w:tcPr>
            <w:tcW w:w="953"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专任教师实践锻炼和兼职教师队伍建设项目</w:t>
            </w:r>
          </w:p>
        </w:tc>
        <w:tc>
          <w:tcPr>
            <w:tcW w:w="138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2023.01-2025.</w:t>
            </w:r>
            <w:r>
              <w:rPr>
                <w:rFonts w:hint="eastAsia" w:ascii="Times New Roman" w:hAnsi="Times New Roman" w:eastAsia="宋体" w:cs="Times New Roman"/>
                <w:color w:val="000000"/>
                <w:sz w:val="18"/>
                <w:szCs w:val="18"/>
              </w:rPr>
              <w:t>12</w:t>
            </w:r>
          </w:p>
        </w:tc>
        <w:tc>
          <w:tcPr>
            <w:tcW w:w="4449" w:type="dxa"/>
            <w:tcBorders>
              <w:top w:val="single" w:color="000000" w:sz="4" w:space="0"/>
              <w:left w:val="single" w:color="000000" w:sz="4" w:space="0"/>
              <w:bottom w:val="single" w:color="000000" w:sz="4" w:space="0"/>
              <w:right w:val="single" w:color="000000" w:sz="4" w:space="0"/>
            </w:tcBorders>
            <w:vAlign w:val="center"/>
          </w:tcPr>
          <w:p>
            <w:pPr>
              <w:jc w:val="left"/>
              <w:rPr>
                <w:rFonts w:ascii="Times New Roman" w:hAnsi="Times New Roman" w:eastAsia="宋体" w:cs="Times New Roman"/>
                <w:bCs/>
                <w:color w:val="000000"/>
                <w:sz w:val="18"/>
                <w:szCs w:val="18"/>
              </w:rPr>
            </w:pPr>
            <w:r>
              <w:rPr>
                <w:rFonts w:hint="eastAsia" w:ascii="Times New Roman" w:hAnsi="Times New Roman" w:eastAsia="宋体" w:cs="Times New Roman"/>
                <w:bCs/>
                <w:color w:val="000000"/>
                <w:sz w:val="18"/>
                <w:szCs w:val="18"/>
              </w:rPr>
              <w:t>加强教师下企业实践锻炼；夯实教师参加国家、省培、市培和校本培训数量和质量；激活兼职教师活力，提升教学水平，增加兼职教师上课课时。</w:t>
            </w:r>
          </w:p>
        </w:tc>
        <w:tc>
          <w:tcPr>
            <w:tcW w:w="4370" w:type="dxa"/>
            <w:tcBorders>
              <w:top w:val="single" w:color="000000" w:sz="4" w:space="0"/>
              <w:left w:val="single" w:color="000000" w:sz="4" w:space="0"/>
              <w:bottom w:val="single" w:color="000000" w:sz="4" w:space="0"/>
              <w:right w:val="single" w:color="000000" w:sz="4" w:space="0"/>
            </w:tcBorders>
            <w:vAlign w:val="center"/>
          </w:tcPr>
          <w:p>
            <w:pPr>
              <w:jc w:val="left"/>
              <w:rPr>
                <w:rFonts w:ascii="Times New Roman" w:hAnsi="Times New Roman" w:eastAsia="宋体" w:cs="Times New Roman"/>
                <w:bCs/>
                <w:color w:val="000000"/>
                <w:sz w:val="18"/>
                <w:szCs w:val="18"/>
              </w:rPr>
            </w:pPr>
            <w:r>
              <w:rPr>
                <w:rFonts w:hint="eastAsia" w:ascii="Times New Roman" w:hAnsi="Times New Roman" w:eastAsia="宋体" w:cs="Times New Roman"/>
                <w:bCs/>
                <w:color w:val="000000"/>
                <w:sz w:val="18"/>
                <w:szCs w:val="18"/>
              </w:rPr>
              <w:t>严格落实《教育部等七部门关于印发《职业学校教师企业实践规定》的通知》，全面推进专任教师实践锻炼和外出培训实践，争取教师年均下企业人数占专任教师比例不低于20%；参加国培、省培和市培的专任教师人数总数不低于20%。教师下企业实践锻炼数量达80%，兼职教师上课课时占总课时比例20%以上。</w:t>
            </w:r>
          </w:p>
        </w:tc>
        <w:tc>
          <w:tcPr>
            <w:tcW w:w="492" w:type="dxa"/>
            <w:gridSpan w:val="2"/>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300</w:t>
            </w:r>
          </w:p>
        </w:tc>
        <w:tc>
          <w:tcPr>
            <w:tcW w:w="648"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100</w:t>
            </w:r>
          </w:p>
        </w:tc>
        <w:tc>
          <w:tcPr>
            <w:tcW w:w="576"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100</w:t>
            </w:r>
          </w:p>
        </w:tc>
        <w:tc>
          <w:tcPr>
            <w:tcW w:w="576"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100</w:t>
            </w:r>
          </w:p>
        </w:tc>
        <w:tc>
          <w:tcPr>
            <w:tcW w:w="58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p>
        </w:tc>
      </w:tr>
      <w:tr>
        <w:tblPrEx>
          <w:tblCellMar>
            <w:top w:w="15" w:type="dxa"/>
            <w:left w:w="15" w:type="dxa"/>
            <w:bottom w:w="15" w:type="dxa"/>
            <w:right w:w="15" w:type="dxa"/>
          </w:tblCellMar>
        </w:tblPrEx>
        <w:trPr>
          <w:trHeight w:val="150" w:hRule="atLeast"/>
          <w:jc w:val="center"/>
        </w:trPr>
        <w:tc>
          <w:tcPr>
            <w:tcW w:w="311" w:type="dxa"/>
            <w:tcBorders>
              <w:top w:val="single" w:color="000000" w:sz="4" w:space="0"/>
              <w:left w:val="single" w:color="000000" w:sz="4" w:space="0"/>
              <w:bottom w:val="single" w:color="auto"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4-3</w:t>
            </w:r>
          </w:p>
        </w:tc>
        <w:tc>
          <w:tcPr>
            <w:tcW w:w="953" w:type="dxa"/>
            <w:tcBorders>
              <w:top w:val="single" w:color="000000" w:sz="4" w:space="0"/>
              <w:left w:val="single" w:color="000000" w:sz="4" w:space="0"/>
              <w:bottom w:val="single" w:color="auto"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教职工师德师风和教师发展制度建设项目</w:t>
            </w:r>
          </w:p>
        </w:tc>
        <w:tc>
          <w:tcPr>
            <w:tcW w:w="1380" w:type="dxa"/>
            <w:tcBorders>
              <w:top w:val="single" w:color="000000" w:sz="4" w:space="0"/>
              <w:left w:val="single" w:color="000000" w:sz="4" w:space="0"/>
              <w:bottom w:val="single" w:color="auto" w:sz="4" w:space="0"/>
              <w:right w:val="single" w:color="000000" w:sz="4" w:space="0"/>
            </w:tcBorders>
            <w:vAlign w:val="center"/>
          </w:tcPr>
          <w:p>
            <w:pP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2023.01-2025.</w:t>
            </w:r>
            <w:r>
              <w:rPr>
                <w:rFonts w:hint="eastAsia" w:ascii="Times New Roman" w:hAnsi="Times New Roman" w:eastAsia="宋体" w:cs="Times New Roman"/>
                <w:color w:val="000000"/>
                <w:sz w:val="18"/>
                <w:szCs w:val="18"/>
              </w:rPr>
              <w:t>12</w:t>
            </w:r>
          </w:p>
        </w:tc>
        <w:tc>
          <w:tcPr>
            <w:tcW w:w="4449" w:type="dxa"/>
            <w:tcBorders>
              <w:top w:val="single" w:color="000000" w:sz="4" w:space="0"/>
              <w:left w:val="single" w:color="000000" w:sz="4" w:space="0"/>
              <w:bottom w:val="single" w:color="auto" w:sz="4" w:space="0"/>
              <w:right w:val="single" w:color="000000" w:sz="4" w:space="0"/>
            </w:tcBorders>
            <w:vAlign w:val="center"/>
          </w:tcPr>
          <w:p>
            <w:pPr>
              <w:jc w:val="left"/>
              <w:rPr>
                <w:rFonts w:ascii="Times New Roman" w:hAnsi="Times New Roman" w:eastAsia="宋体" w:cs="Times New Roman"/>
                <w:bCs/>
                <w:color w:val="000000"/>
                <w:sz w:val="18"/>
                <w:szCs w:val="18"/>
              </w:rPr>
            </w:pPr>
            <w:r>
              <w:rPr>
                <w:rFonts w:hint="eastAsia" w:ascii="Times New Roman" w:hAnsi="Times New Roman" w:eastAsia="宋体" w:cs="Times New Roman"/>
                <w:bCs/>
                <w:color w:val="000000"/>
                <w:sz w:val="18"/>
                <w:szCs w:val="18"/>
              </w:rPr>
              <w:t>完善师德师风配套制度、大力做深做实师德师风主题活动；完善教师发展各项配套制度、加快教师职业高质量发展；创新师资评价激励保障机制。</w:t>
            </w:r>
          </w:p>
        </w:tc>
        <w:tc>
          <w:tcPr>
            <w:tcW w:w="4370" w:type="dxa"/>
            <w:tcBorders>
              <w:top w:val="single" w:color="000000" w:sz="4" w:space="0"/>
              <w:left w:val="single" w:color="000000" w:sz="4" w:space="0"/>
              <w:bottom w:val="single" w:color="auto" w:sz="4" w:space="0"/>
              <w:right w:val="single" w:color="000000" w:sz="4" w:space="0"/>
            </w:tcBorders>
            <w:vAlign w:val="center"/>
          </w:tcPr>
          <w:p>
            <w:pPr>
              <w:jc w:val="left"/>
              <w:rPr>
                <w:rFonts w:ascii="Times New Roman" w:hAnsi="Times New Roman" w:eastAsia="宋体" w:cs="Times New Roman"/>
                <w:bCs/>
                <w:color w:val="000000"/>
                <w:sz w:val="18"/>
                <w:szCs w:val="18"/>
              </w:rPr>
            </w:pPr>
            <w:r>
              <w:rPr>
                <w:rFonts w:hint="eastAsia" w:ascii="Times New Roman" w:hAnsi="Times New Roman" w:eastAsia="宋体" w:cs="Times New Roman"/>
                <w:bCs/>
                <w:color w:val="000000"/>
                <w:sz w:val="18"/>
                <w:szCs w:val="18"/>
              </w:rPr>
              <w:t>以“四有”好老师为标准，持续加强师德师风建设，完善师德师风考核制度，全面落实师德师风负面清单，建立师德建设长效机制建造一支师德师风优良、爱岗敬业、业务精湛、乐于奉献的师资队伍；建立教师分级发展机制，完善教师发展配套制度和教师发展中心工作体系，设立二级学院分中心，形成学校教师发展中心（规划处）、二级学院分中心、专业教研室（专业带头人）三级教师发展工作格局，培养更多教学名师。</w:t>
            </w:r>
          </w:p>
        </w:tc>
        <w:tc>
          <w:tcPr>
            <w:tcW w:w="492" w:type="dxa"/>
            <w:gridSpan w:val="2"/>
            <w:tcBorders>
              <w:top w:val="single" w:color="000000" w:sz="4" w:space="0"/>
              <w:left w:val="single" w:color="000000" w:sz="4" w:space="0"/>
              <w:bottom w:val="single" w:color="auto"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17</w:t>
            </w:r>
          </w:p>
        </w:tc>
        <w:tc>
          <w:tcPr>
            <w:tcW w:w="648" w:type="dxa"/>
            <w:tcBorders>
              <w:top w:val="single" w:color="000000" w:sz="4" w:space="0"/>
              <w:left w:val="single" w:color="000000" w:sz="4" w:space="0"/>
              <w:bottom w:val="single" w:color="auto"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2</w:t>
            </w:r>
          </w:p>
        </w:tc>
        <w:tc>
          <w:tcPr>
            <w:tcW w:w="576" w:type="dxa"/>
            <w:tcBorders>
              <w:top w:val="single" w:color="000000" w:sz="4" w:space="0"/>
              <w:left w:val="single" w:color="000000" w:sz="4" w:space="0"/>
              <w:bottom w:val="single" w:color="auto"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5</w:t>
            </w:r>
          </w:p>
        </w:tc>
        <w:tc>
          <w:tcPr>
            <w:tcW w:w="576" w:type="dxa"/>
            <w:tcBorders>
              <w:top w:val="single" w:color="000000" w:sz="4" w:space="0"/>
              <w:left w:val="single" w:color="000000" w:sz="4" w:space="0"/>
              <w:bottom w:val="single" w:color="auto"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10</w:t>
            </w:r>
          </w:p>
        </w:tc>
        <w:tc>
          <w:tcPr>
            <w:tcW w:w="580" w:type="dxa"/>
            <w:tcBorders>
              <w:top w:val="single" w:color="000000" w:sz="4" w:space="0"/>
              <w:left w:val="single" w:color="000000" w:sz="4" w:space="0"/>
              <w:bottom w:val="single" w:color="auto" w:sz="4" w:space="0"/>
              <w:right w:val="single" w:color="000000" w:sz="4" w:space="0"/>
            </w:tcBorders>
            <w:vAlign w:val="center"/>
          </w:tcPr>
          <w:p>
            <w:pPr>
              <w:rPr>
                <w:rFonts w:ascii="Times New Roman" w:hAnsi="Times New Roman" w:eastAsia="宋体" w:cs="Times New Roman"/>
                <w:color w:val="000000"/>
                <w:sz w:val="18"/>
                <w:szCs w:val="18"/>
              </w:rPr>
            </w:pPr>
          </w:p>
        </w:tc>
      </w:tr>
      <w:tr>
        <w:tblPrEx>
          <w:tblCellMar>
            <w:top w:w="15" w:type="dxa"/>
            <w:left w:w="15" w:type="dxa"/>
            <w:bottom w:w="15" w:type="dxa"/>
            <w:right w:w="15" w:type="dxa"/>
          </w:tblCellMar>
        </w:tblPrEx>
        <w:trPr>
          <w:trHeight w:val="180" w:hRule="atLeast"/>
          <w:jc w:val="center"/>
        </w:trPr>
        <w:tc>
          <w:tcPr>
            <w:tcW w:w="311" w:type="dxa"/>
            <w:tcBorders>
              <w:top w:val="single" w:color="auto"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4-4</w:t>
            </w:r>
          </w:p>
        </w:tc>
        <w:tc>
          <w:tcPr>
            <w:tcW w:w="953" w:type="dxa"/>
            <w:tcBorders>
              <w:top w:val="single" w:color="auto"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教职工绩效工资制度改革项目</w:t>
            </w:r>
          </w:p>
        </w:tc>
        <w:tc>
          <w:tcPr>
            <w:tcW w:w="1380" w:type="dxa"/>
            <w:tcBorders>
              <w:top w:val="single" w:color="auto"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2023.01-2025.</w:t>
            </w:r>
            <w:r>
              <w:rPr>
                <w:rFonts w:hint="eastAsia" w:ascii="Times New Roman" w:hAnsi="Times New Roman" w:eastAsia="宋体" w:cs="Times New Roman"/>
                <w:color w:val="000000"/>
                <w:sz w:val="18"/>
                <w:szCs w:val="18"/>
              </w:rPr>
              <w:t>12</w:t>
            </w:r>
          </w:p>
        </w:tc>
        <w:tc>
          <w:tcPr>
            <w:tcW w:w="4449" w:type="dxa"/>
            <w:tcBorders>
              <w:top w:val="single" w:color="auto" w:sz="4" w:space="0"/>
              <w:left w:val="single" w:color="000000" w:sz="4" w:space="0"/>
              <w:bottom w:val="single" w:color="000000" w:sz="4" w:space="0"/>
              <w:right w:val="single" w:color="000000" w:sz="4" w:space="0"/>
            </w:tcBorders>
            <w:vAlign w:val="center"/>
          </w:tcPr>
          <w:p>
            <w:pPr>
              <w:jc w:val="left"/>
              <w:rPr>
                <w:rFonts w:ascii="Times New Roman" w:hAnsi="Times New Roman" w:eastAsia="宋体" w:cs="Times New Roman"/>
                <w:bCs/>
                <w:color w:val="000000"/>
                <w:sz w:val="18"/>
                <w:szCs w:val="18"/>
              </w:rPr>
            </w:pPr>
            <w:r>
              <w:rPr>
                <w:rFonts w:hint="eastAsia" w:ascii="Times New Roman" w:hAnsi="Times New Roman" w:eastAsia="宋体" w:cs="Times New Roman"/>
                <w:bCs/>
                <w:color w:val="000000"/>
                <w:sz w:val="18"/>
                <w:szCs w:val="18"/>
              </w:rPr>
              <w:t>完善基于分类评价与管理的教职工绩效考核标准；建立基于“靶向精准考核”的教职工绩效评价模式；建设教职工绩效考核与管理的网络平台</w:t>
            </w:r>
          </w:p>
        </w:tc>
        <w:tc>
          <w:tcPr>
            <w:tcW w:w="4370" w:type="dxa"/>
            <w:tcBorders>
              <w:top w:val="single" w:color="auto" w:sz="4" w:space="0"/>
              <w:left w:val="single" w:color="000000" w:sz="4" w:space="0"/>
              <w:bottom w:val="single" w:color="000000" w:sz="4" w:space="0"/>
              <w:right w:val="single" w:color="000000" w:sz="4" w:space="0"/>
            </w:tcBorders>
            <w:vAlign w:val="center"/>
          </w:tcPr>
          <w:p>
            <w:pPr>
              <w:jc w:val="left"/>
              <w:rPr>
                <w:rFonts w:ascii="Times New Roman" w:hAnsi="Times New Roman" w:eastAsia="宋体" w:cs="Times New Roman"/>
                <w:bCs/>
                <w:color w:val="000000"/>
                <w:sz w:val="18"/>
                <w:szCs w:val="18"/>
              </w:rPr>
            </w:pPr>
            <w:r>
              <w:rPr>
                <w:rFonts w:hint="eastAsia" w:ascii="Times New Roman" w:hAnsi="Times New Roman" w:eastAsia="宋体" w:cs="Times New Roman"/>
                <w:bCs/>
                <w:color w:val="000000"/>
                <w:sz w:val="18"/>
                <w:szCs w:val="18"/>
              </w:rPr>
              <w:t>建立适应创新强校体制的绩效考核评价机制，完善各项绩效评价分配制度，修订绩效工资实施方案，在核定的总量内自主确定基础性与奖励性绩效工资比例，真正实现多劳多得，优劳优得。</w:t>
            </w:r>
          </w:p>
        </w:tc>
        <w:tc>
          <w:tcPr>
            <w:tcW w:w="492" w:type="dxa"/>
            <w:gridSpan w:val="2"/>
            <w:tcBorders>
              <w:top w:val="single" w:color="auto"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12</w:t>
            </w:r>
          </w:p>
        </w:tc>
        <w:tc>
          <w:tcPr>
            <w:tcW w:w="648" w:type="dxa"/>
            <w:tcBorders>
              <w:top w:val="single" w:color="auto"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2</w:t>
            </w:r>
          </w:p>
        </w:tc>
        <w:tc>
          <w:tcPr>
            <w:tcW w:w="576" w:type="dxa"/>
            <w:tcBorders>
              <w:top w:val="single" w:color="auto"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5</w:t>
            </w:r>
          </w:p>
        </w:tc>
        <w:tc>
          <w:tcPr>
            <w:tcW w:w="576" w:type="dxa"/>
            <w:tcBorders>
              <w:top w:val="single" w:color="auto"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5</w:t>
            </w:r>
          </w:p>
        </w:tc>
        <w:tc>
          <w:tcPr>
            <w:tcW w:w="580" w:type="dxa"/>
            <w:tcBorders>
              <w:top w:val="single" w:color="auto"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p>
        </w:tc>
      </w:tr>
      <w:tr>
        <w:tblPrEx>
          <w:tblCellMar>
            <w:top w:w="15" w:type="dxa"/>
            <w:left w:w="15" w:type="dxa"/>
            <w:bottom w:w="15" w:type="dxa"/>
            <w:right w:w="15" w:type="dxa"/>
          </w:tblCellMar>
        </w:tblPrEx>
        <w:trPr>
          <w:trHeight w:val="450" w:hRule="atLeast"/>
          <w:jc w:val="center"/>
        </w:trPr>
        <w:tc>
          <w:tcPr>
            <w:tcW w:w="311"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p>
        </w:tc>
        <w:tc>
          <w:tcPr>
            <w:tcW w:w="953"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五、科学研究和社会服务项目</w:t>
            </w:r>
          </w:p>
        </w:tc>
        <w:tc>
          <w:tcPr>
            <w:tcW w:w="138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2023.01-2025.</w:t>
            </w:r>
            <w:r>
              <w:rPr>
                <w:rFonts w:hint="eastAsia" w:ascii="Times New Roman" w:hAnsi="Times New Roman" w:eastAsia="宋体" w:cs="Times New Roman"/>
                <w:color w:val="000000"/>
                <w:sz w:val="18"/>
                <w:szCs w:val="18"/>
              </w:rPr>
              <w:t>12</w:t>
            </w:r>
          </w:p>
        </w:tc>
        <w:tc>
          <w:tcPr>
            <w:tcW w:w="4449"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bCs/>
                <w:color w:val="000000"/>
                <w:sz w:val="18"/>
                <w:szCs w:val="18"/>
              </w:rPr>
            </w:pPr>
            <w:r>
              <w:rPr>
                <w:rFonts w:hint="eastAsia" w:ascii="Times New Roman" w:hAnsi="Times New Roman" w:eastAsia="宋体" w:cs="Times New Roman"/>
                <w:bCs/>
                <w:color w:val="000000"/>
                <w:sz w:val="18"/>
                <w:szCs w:val="18"/>
              </w:rPr>
              <w:t>∕</w:t>
            </w:r>
          </w:p>
        </w:tc>
        <w:tc>
          <w:tcPr>
            <w:tcW w:w="437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bCs/>
                <w:color w:val="000000"/>
                <w:sz w:val="18"/>
                <w:szCs w:val="18"/>
              </w:rPr>
            </w:pPr>
            <w:r>
              <w:rPr>
                <w:rFonts w:hint="eastAsia" w:ascii="Times New Roman" w:hAnsi="Times New Roman" w:eastAsia="宋体" w:cs="Times New Roman"/>
                <w:bCs/>
                <w:color w:val="000000"/>
                <w:sz w:val="18"/>
                <w:szCs w:val="18"/>
              </w:rPr>
              <w:t>∕</w:t>
            </w:r>
          </w:p>
        </w:tc>
        <w:tc>
          <w:tcPr>
            <w:tcW w:w="492" w:type="dxa"/>
            <w:gridSpan w:val="2"/>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888</w:t>
            </w:r>
          </w:p>
        </w:tc>
        <w:tc>
          <w:tcPr>
            <w:tcW w:w="648"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293</w:t>
            </w:r>
          </w:p>
        </w:tc>
        <w:tc>
          <w:tcPr>
            <w:tcW w:w="576"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295</w:t>
            </w:r>
          </w:p>
        </w:tc>
        <w:tc>
          <w:tcPr>
            <w:tcW w:w="576"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300</w:t>
            </w:r>
          </w:p>
        </w:tc>
        <w:tc>
          <w:tcPr>
            <w:tcW w:w="58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p>
        </w:tc>
      </w:tr>
      <w:tr>
        <w:tblPrEx>
          <w:tblCellMar>
            <w:top w:w="15" w:type="dxa"/>
            <w:left w:w="15" w:type="dxa"/>
            <w:bottom w:w="15" w:type="dxa"/>
            <w:right w:w="15" w:type="dxa"/>
          </w:tblCellMar>
        </w:tblPrEx>
        <w:trPr>
          <w:trHeight w:val="286" w:hRule="atLeast"/>
          <w:jc w:val="center"/>
        </w:trPr>
        <w:tc>
          <w:tcPr>
            <w:tcW w:w="311"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5-1</w:t>
            </w:r>
          </w:p>
        </w:tc>
        <w:tc>
          <w:tcPr>
            <w:tcW w:w="953"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FF0000"/>
                <w:sz w:val="18"/>
                <w:szCs w:val="18"/>
              </w:rPr>
            </w:pPr>
            <w:r>
              <w:rPr>
                <w:rFonts w:hint="eastAsia" w:ascii="Times New Roman" w:hAnsi="Times New Roman" w:eastAsia="宋体" w:cs="Times New Roman"/>
                <w:sz w:val="18"/>
                <w:szCs w:val="18"/>
              </w:rPr>
              <w:t>科研创新，提升办学综合实力项目</w:t>
            </w:r>
          </w:p>
        </w:tc>
        <w:tc>
          <w:tcPr>
            <w:tcW w:w="138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2023.01-2025.</w:t>
            </w:r>
            <w:r>
              <w:rPr>
                <w:rFonts w:hint="eastAsia" w:ascii="Times New Roman" w:hAnsi="Times New Roman" w:eastAsia="宋体" w:cs="Times New Roman"/>
                <w:color w:val="000000"/>
                <w:sz w:val="18"/>
                <w:szCs w:val="18"/>
              </w:rPr>
              <w:t>12</w:t>
            </w:r>
          </w:p>
        </w:tc>
        <w:tc>
          <w:tcPr>
            <w:tcW w:w="4449"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bCs/>
                <w:color w:val="000000"/>
                <w:sz w:val="18"/>
                <w:szCs w:val="18"/>
              </w:rPr>
            </w:pPr>
            <w:r>
              <w:rPr>
                <w:rFonts w:hint="eastAsia" w:ascii="Times New Roman" w:hAnsi="Times New Roman" w:eastAsia="宋体" w:cs="Times New Roman"/>
                <w:bCs/>
                <w:color w:val="000000"/>
                <w:sz w:val="18"/>
                <w:szCs w:val="18"/>
              </w:rPr>
              <w:t>加强科研经费投入，优化科研经费使用，提高科研经费的使用效益。充分利用相关成果，加强知识产权保护。借助横向合作，形成科研合力，搭建创新平台、产学研基地，组建服务创新团队，提升科研水平，增强科技创新服务能力，提升科研成果的实用性与转化率。积极探索校校、校企资源共享、协同发展的合作模式，搭建资源共享的服务平台。</w:t>
            </w:r>
          </w:p>
        </w:tc>
        <w:tc>
          <w:tcPr>
            <w:tcW w:w="4370" w:type="dxa"/>
            <w:tcBorders>
              <w:top w:val="single" w:color="000000" w:sz="4" w:space="0"/>
              <w:left w:val="single" w:color="000000" w:sz="4" w:space="0"/>
              <w:bottom w:val="single" w:color="000000" w:sz="4" w:space="0"/>
              <w:right w:val="single" w:color="000000" w:sz="4" w:space="0"/>
            </w:tcBorders>
            <w:vAlign w:val="center"/>
          </w:tcPr>
          <w:p>
            <w:pPr>
              <w:tabs>
                <w:tab w:val="left" w:pos="312"/>
              </w:tabs>
              <w:rPr>
                <w:rFonts w:ascii="Times New Roman" w:hAnsi="Times New Roman" w:eastAsia="宋体" w:cs="Times New Roman"/>
                <w:bCs/>
                <w:color w:val="000000"/>
                <w:sz w:val="18"/>
                <w:szCs w:val="18"/>
              </w:rPr>
            </w:pPr>
            <w:r>
              <w:rPr>
                <w:rFonts w:hint="eastAsia" w:ascii="Times New Roman" w:hAnsi="Times New Roman" w:eastAsia="宋体" w:cs="Times New Roman"/>
                <w:bCs/>
                <w:color w:val="000000"/>
                <w:sz w:val="18"/>
                <w:szCs w:val="18"/>
              </w:rPr>
              <w:t>根据惠州经济实际发展需要，发挥多样化社会服务效能，从智力和技术上支持惠州经济快速转型升级，整体推动经济发展。重点打造省级科研创新、产教融合、技术技能平台30个。建成15个技术技能创新服务平台，8支创新服务团队。获得纵向或横向科研项目立项，国家级15项，省级50项。年均横向技术服务到款额超520万元，年均横向技术服务产生经济效益超1500万元，年均纵向科研经费超200万元。</w:t>
            </w:r>
          </w:p>
        </w:tc>
        <w:tc>
          <w:tcPr>
            <w:tcW w:w="492" w:type="dxa"/>
            <w:gridSpan w:val="2"/>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228</w:t>
            </w:r>
          </w:p>
        </w:tc>
        <w:tc>
          <w:tcPr>
            <w:tcW w:w="648"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73</w:t>
            </w:r>
          </w:p>
        </w:tc>
        <w:tc>
          <w:tcPr>
            <w:tcW w:w="576"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75</w:t>
            </w:r>
          </w:p>
        </w:tc>
        <w:tc>
          <w:tcPr>
            <w:tcW w:w="576"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80</w:t>
            </w:r>
          </w:p>
        </w:tc>
        <w:tc>
          <w:tcPr>
            <w:tcW w:w="58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p>
        </w:tc>
      </w:tr>
      <w:tr>
        <w:tblPrEx>
          <w:tblCellMar>
            <w:top w:w="15" w:type="dxa"/>
            <w:left w:w="15" w:type="dxa"/>
            <w:bottom w:w="15" w:type="dxa"/>
            <w:right w:w="15" w:type="dxa"/>
          </w:tblCellMar>
        </w:tblPrEx>
        <w:trPr>
          <w:trHeight w:val="2380" w:hRule="atLeast"/>
          <w:jc w:val="center"/>
        </w:trPr>
        <w:tc>
          <w:tcPr>
            <w:tcW w:w="311"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5-2</w:t>
            </w:r>
          </w:p>
        </w:tc>
        <w:tc>
          <w:tcPr>
            <w:tcW w:w="953"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非学历培训建设项目</w:t>
            </w:r>
          </w:p>
        </w:tc>
        <w:tc>
          <w:tcPr>
            <w:tcW w:w="138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2023.01-2025.</w:t>
            </w:r>
            <w:r>
              <w:rPr>
                <w:rFonts w:hint="eastAsia" w:ascii="Times New Roman" w:hAnsi="Times New Roman" w:eastAsia="宋体" w:cs="Times New Roman"/>
                <w:color w:val="000000"/>
                <w:sz w:val="18"/>
                <w:szCs w:val="18"/>
              </w:rPr>
              <w:t>12</w:t>
            </w:r>
          </w:p>
        </w:tc>
        <w:tc>
          <w:tcPr>
            <w:tcW w:w="4449"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bCs/>
                <w:color w:val="000000"/>
                <w:sz w:val="18"/>
                <w:szCs w:val="18"/>
              </w:rPr>
            </w:pPr>
            <w:r>
              <w:rPr>
                <w:rFonts w:hint="eastAsia" w:ascii="Times New Roman" w:hAnsi="Times New Roman" w:eastAsia="宋体" w:cs="Times New Roman"/>
                <w:bCs/>
                <w:color w:val="000000"/>
                <w:sz w:val="18"/>
                <w:szCs w:val="18"/>
              </w:rPr>
              <w:t>针对国家和区域经济社会发展要求，开发服务国家和地方发展战略需要的培训项目，促进我校与惠州市及其产业的融合创新，增强非学历教育培训服务地方发展的质量和水平，培养地方发展急需的行业人才，打造成为区域行业人才培训的重要高地。</w:t>
            </w:r>
          </w:p>
        </w:tc>
        <w:tc>
          <w:tcPr>
            <w:tcW w:w="437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bCs/>
                <w:color w:val="000000"/>
                <w:sz w:val="18"/>
                <w:szCs w:val="18"/>
              </w:rPr>
            </w:pPr>
            <w:r>
              <w:rPr>
                <w:rFonts w:hint="eastAsia" w:ascii="Times New Roman" w:hAnsi="Times New Roman" w:eastAsia="宋体" w:cs="Times New Roman"/>
                <w:bCs/>
                <w:color w:val="000000"/>
                <w:sz w:val="18"/>
                <w:szCs w:val="18"/>
              </w:rPr>
              <w:t>聚力推动继续教育高质量发展，依托学校雄厚的师资力量和教学资源，聚焦非学历培训及社会服务，打造服务载体，提升辐射能力，进一步提升我校服务社会的能力和水平，为全民终身学习和人才强国战略作出积极贡献。年均非学历培训到账经费超1200万元，学校每年开展的非学历培训人日数32000人日。</w:t>
            </w:r>
          </w:p>
        </w:tc>
        <w:tc>
          <w:tcPr>
            <w:tcW w:w="492" w:type="dxa"/>
            <w:gridSpan w:val="2"/>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300</w:t>
            </w:r>
          </w:p>
        </w:tc>
        <w:tc>
          <w:tcPr>
            <w:tcW w:w="648"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100</w:t>
            </w:r>
          </w:p>
        </w:tc>
        <w:tc>
          <w:tcPr>
            <w:tcW w:w="576"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100</w:t>
            </w:r>
          </w:p>
        </w:tc>
        <w:tc>
          <w:tcPr>
            <w:tcW w:w="576"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100</w:t>
            </w:r>
          </w:p>
        </w:tc>
        <w:tc>
          <w:tcPr>
            <w:tcW w:w="58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p>
        </w:tc>
      </w:tr>
      <w:tr>
        <w:tblPrEx>
          <w:tblCellMar>
            <w:top w:w="15" w:type="dxa"/>
            <w:left w:w="15" w:type="dxa"/>
            <w:bottom w:w="15" w:type="dxa"/>
            <w:right w:w="15" w:type="dxa"/>
          </w:tblCellMar>
        </w:tblPrEx>
        <w:trPr>
          <w:trHeight w:val="550" w:hRule="atLeast"/>
          <w:jc w:val="center"/>
        </w:trPr>
        <w:tc>
          <w:tcPr>
            <w:tcW w:w="311"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5-3</w:t>
            </w:r>
          </w:p>
        </w:tc>
        <w:tc>
          <w:tcPr>
            <w:tcW w:w="953"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东西部教育协作与省内结对帮扶项目</w:t>
            </w:r>
          </w:p>
        </w:tc>
        <w:tc>
          <w:tcPr>
            <w:tcW w:w="138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2023.01-2024.12</w:t>
            </w:r>
          </w:p>
        </w:tc>
        <w:tc>
          <w:tcPr>
            <w:tcW w:w="4449"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bCs/>
                <w:color w:val="000000"/>
                <w:sz w:val="18"/>
                <w:szCs w:val="18"/>
              </w:rPr>
            </w:pPr>
            <w:r>
              <w:rPr>
                <w:rFonts w:hint="eastAsia" w:ascii="Times New Roman" w:hAnsi="Times New Roman" w:eastAsia="宋体" w:cs="Times New Roman"/>
                <w:bCs/>
                <w:color w:val="000000"/>
                <w:sz w:val="18"/>
                <w:szCs w:val="18"/>
              </w:rPr>
              <w:t>帮扶贵州学生开展专业学习，提升贵州教师教学能力，对韶关基础（职业）教育精准帮扶，结合三方特色打造结对帮扶典型，以点带面辐射韶关区域教育发展。</w:t>
            </w:r>
          </w:p>
        </w:tc>
        <w:tc>
          <w:tcPr>
            <w:tcW w:w="437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bCs/>
                <w:color w:val="000000"/>
                <w:sz w:val="18"/>
                <w:szCs w:val="18"/>
              </w:rPr>
            </w:pPr>
            <w:r>
              <w:rPr>
                <w:rFonts w:hint="eastAsia" w:ascii="Times New Roman" w:hAnsi="Times New Roman" w:eastAsia="宋体" w:cs="Times New Roman"/>
                <w:bCs/>
                <w:color w:val="000000"/>
                <w:sz w:val="18"/>
                <w:szCs w:val="18"/>
              </w:rPr>
              <w:t>通过与普安县中等职业学校教育协作，缩小东西部地区的教育差距，加强“贵州•惠州”职业教育帮扶合作，共同更新教育理念，创新教育改革，加强师资建设，提高教育教学水平，共享课程资源，推动贵州职业教育的进步。</w:t>
            </w:r>
          </w:p>
          <w:p>
            <w:pPr>
              <w:rPr>
                <w:rFonts w:ascii="Times New Roman" w:hAnsi="Times New Roman" w:eastAsia="宋体" w:cs="Times New Roman"/>
                <w:bCs/>
                <w:color w:val="000000"/>
                <w:sz w:val="18"/>
                <w:szCs w:val="18"/>
              </w:rPr>
            </w:pPr>
            <w:r>
              <w:rPr>
                <w:rFonts w:hint="eastAsia" w:ascii="Times New Roman" w:hAnsi="Times New Roman" w:eastAsia="宋体" w:cs="Times New Roman"/>
                <w:bCs/>
                <w:color w:val="000000"/>
                <w:sz w:val="18"/>
                <w:szCs w:val="18"/>
              </w:rPr>
              <w:t>精准帮扶南雄市职业学校（中小学），按照新时代国家大政方针和教育部政策要求，分步分批帮扶，构建合理健康、特色鲜明的学校教育体系和模式，为南雄市职业学校（中小学）均衡发展提供优质教育资源，引导高校师生强化服务社会意识，提升服务社会能力。</w:t>
            </w:r>
          </w:p>
        </w:tc>
        <w:tc>
          <w:tcPr>
            <w:tcW w:w="492" w:type="dxa"/>
            <w:gridSpan w:val="2"/>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300</w:t>
            </w:r>
          </w:p>
        </w:tc>
        <w:tc>
          <w:tcPr>
            <w:tcW w:w="648"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100</w:t>
            </w:r>
          </w:p>
        </w:tc>
        <w:tc>
          <w:tcPr>
            <w:tcW w:w="576"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100</w:t>
            </w:r>
          </w:p>
        </w:tc>
        <w:tc>
          <w:tcPr>
            <w:tcW w:w="576"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100</w:t>
            </w:r>
          </w:p>
        </w:tc>
        <w:tc>
          <w:tcPr>
            <w:tcW w:w="58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p>
        </w:tc>
      </w:tr>
      <w:tr>
        <w:tblPrEx>
          <w:tblCellMar>
            <w:top w:w="15" w:type="dxa"/>
            <w:left w:w="15" w:type="dxa"/>
            <w:bottom w:w="15" w:type="dxa"/>
            <w:right w:w="15" w:type="dxa"/>
          </w:tblCellMar>
        </w:tblPrEx>
        <w:trPr>
          <w:trHeight w:val="2380" w:hRule="atLeast"/>
          <w:jc w:val="center"/>
        </w:trPr>
        <w:tc>
          <w:tcPr>
            <w:tcW w:w="311"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5-4</w:t>
            </w:r>
          </w:p>
        </w:tc>
        <w:tc>
          <w:tcPr>
            <w:tcW w:w="953"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服务区域发展战略项目</w:t>
            </w:r>
          </w:p>
        </w:tc>
        <w:tc>
          <w:tcPr>
            <w:tcW w:w="138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2023.01-2025.06</w:t>
            </w:r>
          </w:p>
        </w:tc>
        <w:tc>
          <w:tcPr>
            <w:tcW w:w="4449" w:type="dxa"/>
            <w:tcBorders>
              <w:top w:val="single" w:color="000000" w:sz="4" w:space="0"/>
              <w:left w:val="single" w:color="000000" w:sz="4" w:space="0"/>
              <w:bottom w:val="single" w:color="000000" w:sz="4" w:space="0"/>
              <w:right w:val="single" w:color="000000" w:sz="4" w:space="0"/>
            </w:tcBorders>
            <w:vAlign w:val="center"/>
          </w:tcPr>
          <w:p>
            <w:pPr>
              <w:tabs>
                <w:tab w:val="left" w:pos="312"/>
              </w:tabs>
              <w:rPr>
                <w:rFonts w:ascii="Times New Roman" w:hAnsi="Times New Roman" w:eastAsia="宋体" w:cs="Times New Roman"/>
                <w:bCs/>
                <w:color w:val="000000"/>
                <w:sz w:val="18"/>
                <w:szCs w:val="18"/>
              </w:rPr>
            </w:pPr>
            <w:r>
              <w:rPr>
                <w:rFonts w:hint="eastAsia" w:ascii="Times New Roman" w:hAnsi="Times New Roman" w:eastAsia="宋体" w:cs="Times New Roman"/>
                <w:bCs/>
                <w:color w:val="000000"/>
                <w:sz w:val="18"/>
                <w:szCs w:val="18"/>
              </w:rPr>
              <w:t>构建支持乡村产业振兴和县域发展的高校科技创新服务体系，整合资源，发挥高校作用，服务乡村振兴、“百千万工程”和百校联百县助力“百县千镇万村高质量发展工程”。</w:t>
            </w:r>
          </w:p>
        </w:tc>
        <w:tc>
          <w:tcPr>
            <w:tcW w:w="4370" w:type="dxa"/>
            <w:tcBorders>
              <w:top w:val="single" w:color="000000" w:sz="4" w:space="0"/>
              <w:left w:val="single" w:color="000000" w:sz="4" w:space="0"/>
              <w:bottom w:val="single" w:color="000000" w:sz="4" w:space="0"/>
              <w:right w:val="single" w:color="000000" w:sz="4" w:space="0"/>
            </w:tcBorders>
            <w:vAlign w:val="center"/>
          </w:tcPr>
          <w:p>
            <w:pPr>
              <w:tabs>
                <w:tab w:val="left" w:pos="312"/>
              </w:tabs>
              <w:rPr>
                <w:rFonts w:ascii="Times New Roman" w:hAnsi="Times New Roman" w:eastAsia="宋体" w:cs="Times New Roman"/>
                <w:bCs/>
                <w:color w:val="000000"/>
                <w:sz w:val="18"/>
                <w:szCs w:val="18"/>
              </w:rPr>
            </w:pPr>
            <w:r>
              <w:rPr>
                <w:rFonts w:hint="eastAsia" w:ascii="Times New Roman" w:hAnsi="Times New Roman" w:eastAsia="宋体" w:cs="Times New Roman"/>
                <w:bCs/>
                <w:color w:val="000000"/>
                <w:sz w:val="18"/>
                <w:szCs w:val="18"/>
              </w:rPr>
              <w:t>以城乡融合、区域协调发展取得新突破为目标，立足服务对象实际，充分发挥学校教育和科技资源优势，强化产业、科技、资金、人才等要素导入，在强化重大项目带动、培育壮大县域和乡镇优势产业、提升基础设施建设、提升公共服务水平、促进城乡建设提升、强化帮扶合力和“百千万工程”典型县、镇、村打造等方面，促成更多合作项目落地实施，壮大县域综合实力，全面推进乡村振兴，提升民生保障水平，共同为广东高质量发展作出新的更大贡献。</w:t>
            </w:r>
          </w:p>
        </w:tc>
        <w:tc>
          <w:tcPr>
            <w:tcW w:w="492" w:type="dxa"/>
            <w:gridSpan w:val="2"/>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60</w:t>
            </w:r>
          </w:p>
        </w:tc>
        <w:tc>
          <w:tcPr>
            <w:tcW w:w="648"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20</w:t>
            </w:r>
          </w:p>
        </w:tc>
        <w:tc>
          <w:tcPr>
            <w:tcW w:w="576"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20</w:t>
            </w:r>
          </w:p>
        </w:tc>
        <w:tc>
          <w:tcPr>
            <w:tcW w:w="576"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20</w:t>
            </w:r>
          </w:p>
        </w:tc>
        <w:tc>
          <w:tcPr>
            <w:tcW w:w="58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p>
        </w:tc>
      </w:tr>
      <w:tr>
        <w:tblPrEx>
          <w:tblCellMar>
            <w:top w:w="15" w:type="dxa"/>
            <w:left w:w="15" w:type="dxa"/>
            <w:bottom w:w="15" w:type="dxa"/>
            <w:right w:w="15" w:type="dxa"/>
          </w:tblCellMar>
        </w:tblPrEx>
        <w:trPr>
          <w:trHeight w:val="450" w:hRule="atLeast"/>
          <w:jc w:val="center"/>
        </w:trPr>
        <w:tc>
          <w:tcPr>
            <w:tcW w:w="311"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p>
        </w:tc>
        <w:tc>
          <w:tcPr>
            <w:tcW w:w="953"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六、产教融合、校企合作项目</w:t>
            </w:r>
          </w:p>
        </w:tc>
        <w:tc>
          <w:tcPr>
            <w:tcW w:w="138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2023.01-2025.12</w:t>
            </w:r>
          </w:p>
        </w:tc>
        <w:tc>
          <w:tcPr>
            <w:tcW w:w="4449"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bCs/>
                <w:color w:val="000000"/>
                <w:sz w:val="18"/>
                <w:szCs w:val="18"/>
              </w:rPr>
            </w:pPr>
            <w:r>
              <w:rPr>
                <w:rFonts w:hint="eastAsia" w:ascii="Times New Roman" w:hAnsi="Times New Roman" w:eastAsia="宋体" w:cs="Times New Roman"/>
                <w:bCs/>
                <w:color w:val="000000"/>
                <w:sz w:val="18"/>
                <w:szCs w:val="18"/>
              </w:rPr>
              <w:t>∕</w:t>
            </w:r>
          </w:p>
        </w:tc>
        <w:tc>
          <w:tcPr>
            <w:tcW w:w="437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bCs/>
                <w:color w:val="000000"/>
                <w:sz w:val="18"/>
                <w:szCs w:val="18"/>
              </w:rPr>
            </w:pPr>
            <w:r>
              <w:rPr>
                <w:rFonts w:hint="eastAsia" w:ascii="Times New Roman" w:hAnsi="Times New Roman" w:eastAsia="宋体" w:cs="Times New Roman"/>
                <w:bCs/>
                <w:color w:val="000000"/>
                <w:sz w:val="18"/>
                <w:szCs w:val="18"/>
              </w:rPr>
              <w:t>∕</w:t>
            </w:r>
          </w:p>
        </w:tc>
        <w:tc>
          <w:tcPr>
            <w:tcW w:w="492" w:type="dxa"/>
            <w:gridSpan w:val="2"/>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4500</w:t>
            </w:r>
          </w:p>
        </w:tc>
        <w:tc>
          <w:tcPr>
            <w:tcW w:w="648"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1500</w:t>
            </w:r>
          </w:p>
        </w:tc>
        <w:tc>
          <w:tcPr>
            <w:tcW w:w="576"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1500</w:t>
            </w:r>
          </w:p>
        </w:tc>
        <w:tc>
          <w:tcPr>
            <w:tcW w:w="576"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1500</w:t>
            </w:r>
          </w:p>
        </w:tc>
        <w:tc>
          <w:tcPr>
            <w:tcW w:w="58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p>
        </w:tc>
      </w:tr>
      <w:tr>
        <w:tblPrEx>
          <w:tblCellMar>
            <w:top w:w="15" w:type="dxa"/>
            <w:left w:w="15" w:type="dxa"/>
            <w:bottom w:w="15" w:type="dxa"/>
            <w:right w:w="15" w:type="dxa"/>
          </w:tblCellMar>
        </w:tblPrEx>
        <w:trPr>
          <w:trHeight w:val="1360" w:hRule="atLeast"/>
          <w:jc w:val="center"/>
        </w:trPr>
        <w:tc>
          <w:tcPr>
            <w:tcW w:w="311" w:type="dxa"/>
            <w:tcBorders>
              <w:top w:val="single" w:color="000000" w:sz="4" w:space="0"/>
              <w:left w:val="single" w:color="000000" w:sz="4" w:space="0"/>
              <w:bottom w:val="single" w:color="auto"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6-1</w:t>
            </w:r>
          </w:p>
        </w:tc>
        <w:tc>
          <w:tcPr>
            <w:tcW w:w="953" w:type="dxa"/>
            <w:tcBorders>
              <w:top w:val="single" w:color="000000" w:sz="4" w:space="0"/>
              <w:left w:val="single" w:color="000000" w:sz="4" w:space="0"/>
              <w:bottom w:val="single" w:color="auto"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产教联合体和产业学院建设项目</w:t>
            </w:r>
          </w:p>
        </w:tc>
        <w:tc>
          <w:tcPr>
            <w:tcW w:w="1380" w:type="dxa"/>
            <w:tcBorders>
              <w:top w:val="single" w:color="000000" w:sz="4" w:space="0"/>
              <w:left w:val="single" w:color="000000" w:sz="4" w:space="0"/>
              <w:bottom w:val="single" w:color="auto" w:sz="4" w:space="0"/>
              <w:right w:val="single" w:color="000000" w:sz="4" w:space="0"/>
            </w:tcBorders>
            <w:vAlign w:val="center"/>
          </w:tcPr>
          <w:p>
            <w:pP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2023.01-2025.12</w:t>
            </w:r>
          </w:p>
        </w:tc>
        <w:tc>
          <w:tcPr>
            <w:tcW w:w="4449" w:type="dxa"/>
            <w:tcBorders>
              <w:top w:val="single" w:color="000000" w:sz="4" w:space="0"/>
              <w:left w:val="single" w:color="000000" w:sz="4" w:space="0"/>
              <w:bottom w:val="single" w:color="auto" w:sz="4" w:space="0"/>
              <w:right w:val="single" w:color="000000" w:sz="4" w:space="0"/>
            </w:tcBorders>
            <w:vAlign w:val="center"/>
          </w:tcPr>
          <w:p>
            <w:pPr>
              <w:jc w:val="left"/>
              <w:rPr>
                <w:rFonts w:ascii="Times New Roman" w:hAnsi="Times New Roman" w:eastAsia="宋体" w:cs="Times New Roman"/>
                <w:bCs/>
                <w:color w:val="000000"/>
                <w:sz w:val="18"/>
                <w:szCs w:val="18"/>
              </w:rPr>
            </w:pPr>
            <w:r>
              <w:rPr>
                <w:rFonts w:hint="eastAsia" w:ascii="Times New Roman" w:hAnsi="Times New Roman" w:eastAsia="宋体" w:cs="Times New Roman"/>
                <w:bCs/>
                <w:color w:val="000000"/>
                <w:sz w:val="18"/>
                <w:szCs w:val="18"/>
              </w:rPr>
              <w:t>以产教融合为主线，深化校企合作深度，推动学院内涵式发展，加快构建校企命运共同体。依托高水平产教融合平台，培育校外实训基地，鼓励企业积极参与专业共建，促进校企人才对流，培育一批高水平校企专业带头人，优化完善专业教师到企业定期实践锻炼常态化机制，培养更多高素质技术技能人才、能工巧匠、大国工匠。</w:t>
            </w:r>
          </w:p>
        </w:tc>
        <w:tc>
          <w:tcPr>
            <w:tcW w:w="4370" w:type="dxa"/>
            <w:tcBorders>
              <w:top w:val="single" w:color="000000" w:sz="4" w:space="0"/>
              <w:left w:val="single" w:color="000000" w:sz="4" w:space="0"/>
              <w:bottom w:val="single" w:color="auto" w:sz="4" w:space="0"/>
              <w:right w:val="single" w:color="000000" w:sz="4" w:space="0"/>
            </w:tcBorders>
            <w:vAlign w:val="center"/>
          </w:tcPr>
          <w:p>
            <w:pPr>
              <w:jc w:val="left"/>
              <w:rPr>
                <w:rFonts w:ascii="Times New Roman" w:hAnsi="Times New Roman" w:eastAsia="宋体" w:cs="Times New Roman"/>
                <w:bCs/>
                <w:color w:val="000000"/>
                <w:sz w:val="18"/>
                <w:szCs w:val="18"/>
              </w:rPr>
            </w:pPr>
            <w:r>
              <w:rPr>
                <w:rFonts w:hint="eastAsia" w:ascii="Times New Roman" w:hAnsi="Times New Roman" w:eastAsia="宋体" w:cs="Times New Roman"/>
                <w:bCs/>
                <w:color w:val="000000"/>
                <w:sz w:val="18"/>
                <w:szCs w:val="18"/>
              </w:rPr>
              <w:t>建成大湾区领先的市域产教联合体2个，开放型区域产教融合实践中心12个，“双师型”教师企业实践流动站1个、具有辐射引领作用的省级产教融合实训基地5个、示范性高水平现代产业学院8个，将惠州工程职教集团建成省级示范职教集团，进一步落实现代学徒制成为构建校企命运共同体、实施校企“双主体”协同育人的典范。</w:t>
            </w:r>
          </w:p>
        </w:tc>
        <w:tc>
          <w:tcPr>
            <w:tcW w:w="492" w:type="dxa"/>
            <w:gridSpan w:val="2"/>
            <w:tcBorders>
              <w:top w:val="single" w:color="000000" w:sz="4" w:space="0"/>
              <w:left w:val="single" w:color="000000" w:sz="4" w:space="0"/>
              <w:bottom w:val="single" w:color="auto"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1500</w:t>
            </w:r>
          </w:p>
        </w:tc>
        <w:tc>
          <w:tcPr>
            <w:tcW w:w="648" w:type="dxa"/>
            <w:tcBorders>
              <w:top w:val="single" w:color="000000" w:sz="4" w:space="0"/>
              <w:left w:val="single" w:color="000000" w:sz="4" w:space="0"/>
              <w:bottom w:val="single" w:color="auto"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500</w:t>
            </w:r>
          </w:p>
        </w:tc>
        <w:tc>
          <w:tcPr>
            <w:tcW w:w="576" w:type="dxa"/>
            <w:tcBorders>
              <w:top w:val="single" w:color="000000" w:sz="4" w:space="0"/>
              <w:left w:val="single" w:color="000000" w:sz="4" w:space="0"/>
              <w:bottom w:val="single" w:color="auto"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500</w:t>
            </w:r>
          </w:p>
        </w:tc>
        <w:tc>
          <w:tcPr>
            <w:tcW w:w="576" w:type="dxa"/>
            <w:tcBorders>
              <w:top w:val="single" w:color="000000" w:sz="4" w:space="0"/>
              <w:left w:val="single" w:color="000000" w:sz="4" w:space="0"/>
              <w:bottom w:val="single" w:color="auto"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500</w:t>
            </w:r>
          </w:p>
        </w:tc>
        <w:tc>
          <w:tcPr>
            <w:tcW w:w="580" w:type="dxa"/>
            <w:tcBorders>
              <w:top w:val="single" w:color="000000" w:sz="4" w:space="0"/>
              <w:left w:val="single" w:color="000000" w:sz="4" w:space="0"/>
              <w:bottom w:val="single" w:color="auto" w:sz="4" w:space="0"/>
              <w:right w:val="single" w:color="000000" w:sz="4" w:space="0"/>
            </w:tcBorders>
            <w:vAlign w:val="center"/>
          </w:tcPr>
          <w:p>
            <w:pPr>
              <w:rPr>
                <w:rFonts w:ascii="Times New Roman" w:hAnsi="Times New Roman" w:eastAsia="宋体" w:cs="Times New Roman"/>
                <w:color w:val="000000"/>
                <w:sz w:val="18"/>
                <w:szCs w:val="18"/>
              </w:rPr>
            </w:pPr>
          </w:p>
        </w:tc>
      </w:tr>
      <w:tr>
        <w:tblPrEx>
          <w:tblCellMar>
            <w:top w:w="15" w:type="dxa"/>
            <w:left w:w="15" w:type="dxa"/>
            <w:bottom w:w="15" w:type="dxa"/>
            <w:right w:w="15" w:type="dxa"/>
          </w:tblCellMar>
        </w:tblPrEx>
        <w:trPr>
          <w:trHeight w:val="615" w:hRule="atLeast"/>
          <w:jc w:val="center"/>
        </w:trPr>
        <w:tc>
          <w:tcPr>
            <w:tcW w:w="311" w:type="dxa"/>
            <w:tcBorders>
              <w:top w:val="single" w:color="auto"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6-2</w:t>
            </w:r>
          </w:p>
        </w:tc>
        <w:tc>
          <w:tcPr>
            <w:tcW w:w="953" w:type="dxa"/>
            <w:tcBorders>
              <w:top w:val="single" w:color="auto"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开放型区域产教融合实践中心项目</w:t>
            </w:r>
          </w:p>
        </w:tc>
        <w:tc>
          <w:tcPr>
            <w:tcW w:w="1380" w:type="dxa"/>
            <w:tcBorders>
              <w:top w:val="single" w:color="auto"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2023.01-2025.12</w:t>
            </w:r>
          </w:p>
        </w:tc>
        <w:tc>
          <w:tcPr>
            <w:tcW w:w="4449" w:type="dxa"/>
            <w:tcBorders>
              <w:top w:val="single" w:color="auto" w:sz="4" w:space="0"/>
              <w:left w:val="single" w:color="000000" w:sz="4" w:space="0"/>
              <w:bottom w:val="single" w:color="000000" w:sz="4" w:space="0"/>
              <w:right w:val="single" w:color="000000" w:sz="4" w:space="0"/>
            </w:tcBorders>
            <w:vAlign w:val="center"/>
          </w:tcPr>
          <w:p>
            <w:pPr>
              <w:pStyle w:val="14"/>
              <w:widowControl/>
              <w:spacing w:line="360" w:lineRule="exact"/>
              <w:jc w:val="left"/>
              <w:rPr>
                <w:rFonts w:eastAsia="宋体"/>
                <w:bCs/>
                <w:color w:val="000000"/>
                <w:sz w:val="18"/>
                <w:szCs w:val="18"/>
              </w:rPr>
            </w:pPr>
            <w:r>
              <w:rPr>
                <w:rFonts w:hint="eastAsia" w:eastAsia="宋体"/>
                <w:bCs/>
                <w:color w:val="000000"/>
                <w:sz w:val="18"/>
                <w:szCs w:val="18"/>
              </w:rPr>
              <w:t>建设集实践教学、职业培训、社会培训、技能竞赛、真实生产和技术服务功能为一体的实践中心，主要对接产业发展前沿，注重产教融合参与主体的多元化和包容性，强调参与过程的共建性和成果的共享性，以及凸显产教融合的产业供求匹配属性和有效发挥服务区域经济社会发展的功能的开放型区域产教融合实践中心。</w:t>
            </w:r>
          </w:p>
        </w:tc>
        <w:tc>
          <w:tcPr>
            <w:tcW w:w="4370" w:type="dxa"/>
            <w:tcBorders>
              <w:top w:val="single" w:color="auto" w:sz="4" w:space="0"/>
              <w:left w:val="single" w:color="000000" w:sz="4" w:space="0"/>
              <w:bottom w:val="single" w:color="000000" w:sz="4" w:space="0"/>
              <w:right w:val="single" w:color="000000" w:sz="4" w:space="0"/>
            </w:tcBorders>
            <w:vAlign w:val="center"/>
          </w:tcPr>
          <w:p>
            <w:pPr>
              <w:pStyle w:val="14"/>
              <w:widowControl/>
              <w:spacing w:line="360" w:lineRule="exact"/>
              <w:jc w:val="left"/>
              <w:rPr>
                <w:rFonts w:eastAsia="宋体"/>
                <w:bCs/>
                <w:color w:val="000000"/>
                <w:sz w:val="18"/>
                <w:szCs w:val="18"/>
              </w:rPr>
            </w:pPr>
            <w:r>
              <w:rPr>
                <w:rFonts w:hint="eastAsia" w:eastAsia="宋体"/>
                <w:bCs/>
                <w:color w:val="000000"/>
                <w:sz w:val="18"/>
                <w:szCs w:val="18"/>
              </w:rPr>
              <w:t>2023-2025期间，规划建设12个开放型区域产教融合实践中心：智能终端产教融合实践中心、物联网产教融合实践中心、工业互联网产教融合实践中心、现代智能制造产教融合实践中心、智能新能源汽车产教融合实践中心、现代农业产教融合实践中心、惠州特色农产品精深加工产教融合实践中心、艺术设计产教融合实践中心、信创产业产教融合实践中心、大数据产教融合实践中心、数字商贸产教融合示范基地、电子商务产教融合实践中心的建设。</w:t>
            </w:r>
          </w:p>
        </w:tc>
        <w:tc>
          <w:tcPr>
            <w:tcW w:w="492" w:type="dxa"/>
            <w:gridSpan w:val="2"/>
            <w:tcBorders>
              <w:top w:val="single" w:color="auto"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3000</w:t>
            </w:r>
          </w:p>
        </w:tc>
        <w:tc>
          <w:tcPr>
            <w:tcW w:w="648" w:type="dxa"/>
            <w:tcBorders>
              <w:top w:val="single" w:color="auto"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1000</w:t>
            </w:r>
          </w:p>
        </w:tc>
        <w:tc>
          <w:tcPr>
            <w:tcW w:w="576" w:type="dxa"/>
            <w:tcBorders>
              <w:top w:val="single" w:color="auto"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1000</w:t>
            </w:r>
          </w:p>
        </w:tc>
        <w:tc>
          <w:tcPr>
            <w:tcW w:w="576" w:type="dxa"/>
            <w:tcBorders>
              <w:top w:val="single" w:color="auto"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1000</w:t>
            </w:r>
          </w:p>
        </w:tc>
        <w:tc>
          <w:tcPr>
            <w:tcW w:w="580" w:type="dxa"/>
            <w:tcBorders>
              <w:top w:val="single" w:color="auto"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p>
        </w:tc>
      </w:tr>
      <w:tr>
        <w:tblPrEx>
          <w:tblCellMar>
            <w:top w:w="15" w:type="dxa"/>
            <w:left w:w="15" w:type="dxa"/>
            <w:bottom w:w="15" w:type="dxa"/>
            <w:right w:w="15" w:type="dxa"/>
          </w:tblCellMar>
        </w:tblPrEx>
        <w:trPr>
          <w:trHeight w:val="450" w:hRule="atLeast"/>
          <w:jc w:val="center"/>
        </w:trPr>
        <w:tc>
          <w:tcPr>
            <w:tcW w:w="311"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p>
        </w:tc>
        <w:tc>
          <w:tcPr>
            <w:tcW w:w="953"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七、数字化建设项目</w:t>
            </w:r>
          </w:p>
        </w:tc>
        <w:tc>
          <w:tcPr>
            <w:tcW w:w="138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2023.01-2025.12</w:t>
            </w:r>
          </w:p>
        </w:tc>
        <w:tc>
          <w:tcPr>
            <w:tcW w:w="4449"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bCs/>
                <w:color w:val="000000"/>
                <w:sz w:val="18"/>
                <w:szCs w:val="18"/>
              </w:rPr>
            </w:pPr>
            <w:r>
              <w:rPr>
                <w:rFonts w:hint="eastAsia" w:ascii="Times New Roman" w:hAnsi="Times New Roman" w:eastAsia="宋体" w:cs="Times New Roman"/>
                <w:bCs/>
                <w:color w:val="000000"/>
                <w:sz w:val="18"/>
                <w:szCs w:val="18"/>
              </w:rPr>
              <w:t>∕</w:t>
            </w:r>
          </w:p>
        </w:tc>
        <w:tc>
          <w:tcPr>
            <w:tcW w:w="437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bCs/>
                <w:color w:val="000000"/>
                <w:sz w:val="18"/>
                <w:szCs w:val="18"/>
              </w:rPr>
            </w:pPr>
            <w:r>
              <w:rPr>
                <w:rFonts w:hint="eastAsia" w:ascii="Times New Roman" w:hAnsi="Times New Roman" w:eastAsia="宋体" w:cs="Times New Roman"/>
                <w:bCs/>
                <w:color w:val="000000"/>
                <w:sz w:val="18"/>
                <w:szCs w:val="18"/>
              </w:rPr>
              <w:t>∕</w:t>
            </w:r>
          </w:p>
        </w:tc>
        <w:tc>
          <w:tcPr>
            <w:tcW w:w="492" w:type="dxa"/>
            <w:gridSpan w:val="2"/>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950</w:t>
            </w:r>
          </w:p>
        </w:tc>
        <w:tc>
          <w:tcPr>
            <w:tcW w:w="648"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200</w:t>
            </w:r>
          </w:p>
        </w:tc>
        <w:tc>
          <w:tcPr>
            <w:tcW w:w="576"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250</w:t>
            </w:r>
          </w:p>
        </w:tc>
        <w:tc>
          <w:tcPr>
            <w:tcW w:w="576"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500</w:t>
            </w:r>
          </w:p>
        </w:tc>
        <w:tc>
          <w:tcPr>
            <w:tcW w:w="58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p>
        </w:tc>
      </w:tr>
      <w:tr>
        <w:tblPrEx>
          <w:tblCellMar>
            <w:top w:w="15" w:type="dxa"/>
            <w:left w:w="15" w:type="dxa"/>
            <w:bottom w:w="15" w:type="dxa"/>
            <w:right w:w="15" w:type="dxa"/>
          </w:tblCellMar>
        </w:tblPrEx>
        <w:trPr>
          <w:trHeight w:val="286" w:hRule="atLeast"/>
          <w:jc w:val="center"/>
        </w:trPr>
        <w:tc>
          <w:tcPr>
            <w:tcW w:w="311"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7-1</w:t>
            </w:r>
          </w:p>
        </w:tc>
        <w:tc>
          <w:tcPr>
            <w:tcW w:w="953"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数字化建设项目</w:t>
            </w:r>
          </w:p>
        </w:tc>
        <w:tc>
          <w:tcPr>
            <w:tcW w:w="138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2023.01-2025.12</w:t>
            </w:r>
          </w:p>
        </w:tc>
        <w:tc>
          <w:tcPr>
            <w:tcW w:w="4449"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bCs/>
                <w:color w:val="000000"/>
                <w:sz w:val="18"/>
                <w:szCs w:val="18"/>
              </w:rPr>
            </w:pPr>
            <w:r>
              <w:rPr>
                <w:rFonts w:hint="eastAsia" w:ascii="Times New Roman" w:hAnsi="Times New Roman" w:eastAsia="宋体" w:cs="Times New Roman"/>
                <w:bCs/>
                <w:color w:val="000000"/>
                <w:sz w:val="18"/>
                <w:szCs w:val="18"/>
              </w:rPr>
              <w:t>完善校园网基础设施建设，基本形成结构优化、集约高效、安全可靠的教育新型基础设施体系，营造网络化、数字化、个性化、泛在化的智慧教育环境。提高信息化应用水平、提高师生信息素养，推进一体化智能化教学、科研、管理与服务的“互联网+教育”大平台建设。</w:t>
            </w:r>
          </w:p>
        </w:tc>
        <w:tc>
          <w:tcPr>
            <w:tcW w:w="437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bCs/>
                <w:color w:val="000000"/>
                <w:sz w:val="18"/>
                <w:szCs w:val="18"/>
              </w:rPr>
            </w:pPr>
            <w:r>
              <w:rPr>
                <w:rFonts w:hint="eastAsia" w:ascii="Times New Roman" w:hAnsi="Times New Roman" w:eastAsia="宋体" w:cs="Times New Roman"/>
                <w:bCs/>
                <w:color w:val="000000"/>
                <w:sz w:val="18"/>
                <w:szCs w:val="18"/>
              </w:rPr>
              <w:t>“5G+智慧校园”全面建成，实现有线、无线网络全覆盖，校园资源、实施、师生的智慧高速全连接，大力提升校园网基础设施建设水平，构建智慧、可控的新型信息基础设施，启动“人工智能+教师队伍建设行动”，实现教育管理服务“一网通办”，流程再造上服务，完成至少5个线上服务。100%信息系统落实国家网络安全等级保护2.0要求。</w:t>
            </w:r>
          </w:p>
        </w:tc>
        <w:tc>
          <w:tcPr>
            <w:tcW w:w="492" w:type="dxa"/>
            <w:gridSpan w:val="2"/>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950</w:t>
            </w:r>
          </w:p>
        </w:tc>
        <w:tc>
          <w:tcPr>
            <w:tcW w:w="648"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200</w:t>
            </w:r>
          </w:p>
        </w:tc>
        <w:tc>
          <w:tcPr>
            <w:tcW w:w="576"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250</w:t>
            </w:r>
          </w:p>
        </w:tc>
        <w:tc>
          <w:tcPr>
            <w:tcW w:w="576"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500</w:t>
            </w:r>
          </w:p>
        </w:tc>
        <w:tc>
          <w:tcPr>
            <w:tcW w:w="58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p>
        </w:tc>
      </w:tr>
      <w:tr>
        <w:tblPrEx>
          <w:tblCellMar>
            <w:top w:w="15" w:type="dxa"/>
            <w:left w:w="15" w:type="dxa"/>
            <w:bottom w:w="15" w:type="dxa"/>
            <w:right w:w="15" w:type="dxa"/>
          </w:tblCellMar>
        </w:tblPrEx>
        <w:trPr>
          <w:trHeight w:val="286" w:hRule="atLeast"/>
          <w:jc w:val="center"/>
        </w:trPr>
        <w:tc>
          <w:tcPr>
            <w:tcW w:w="311"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p>
        </w:tc>
        <w:tc>
          <w:tcPr>
            <w:tcW w:w="953"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八、对外交流与合作项目</w:t>
            </w:r>
          </w:p>
        </w:tc>
        <w:tc>
          <w:tcPr>
            <w:tcW w:w="138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2023.01-2025.12</w:t>
            </w:r>
          </w:p>
        </w:tc>
        <w:tc>
          <w:tcPr>
            <w:tcW w:w="4449"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bCs/>
                <w:color w:val="000000"/>
                <w:sz w:val="18"/>
                <w:szCs w:val="18"/>
              </w:rPr>
            </w:pPr>
            <w:r>
              <w:rPr>
                <w:rFonts w:hint="eastAsia" w:ascii="Times New Roman" w:hAnsi="Times New Roman" w:eastAsia="宋体" w:cs="Times New Roman"/>
                <w:bCs/>
                <w:color w:val="000000"/>
                <w:sz w:val="18"/>
                <w:szCs w:val="18"/>
              </w:rPr>
              <w:t>∕</w:t>
            </w:r>
          </w:p>
        </w:tc>
        <w:tc>
          <w:tcPr>
            <w:tcW w:w="437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bCs/>
                <w:color w:val="000000"/>
                <w:sz w:val="18"/>
                <w:szCs w:val="18"/>
              </w:rPr>
            </w:pPr>
            <w:r>
              <w:rPr>
                <w:rFonts w:hint="eastAsia" w:ascii="Times New Roman" w:hAnsi="Times New Roman" w:eastAsia="宋体" w:cs="Times New Roman"/>
                <w:bCs/>
                <w:color w:val="000000"/>
                <w:sz w:val="18"/>
                <w:szCs w:val="18"/>
              </w:rPr>
              <w:t>∕</w:t>
            </w:r>
          </w:p>
        </w:tc>
        <w:tc>
          <w:tcPr>
            <w:tcW w:w="492" w:type="dxa"/>
            <w:gridSpan w:val="2"/>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35</w:t>
            </w:r>
          </w:p>
        </w:tc>
        <w:tc>
          <w:tcPr>
            <w:tcW w:w="648"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5</w:t>
            </w:r>
          </w:p>
        </w:tc>
        <w:tc>
          <w:tcPr>
            <w:tcW w:w="576"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15</w:t>
            </w:r>
          </w:p>
        </w:tc>
        <w:tc>
          <w:tcPr>
            <w:tcW w:w="576"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15</w:t>
            </w:r>
          </w:p>
        </w:tc>
        <w:tc>
          <w:tcPr>
            <w:tcW w:w="58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p>
        </w:tc>
      </w:tr>
      <w:tr>
        <w:tblPrEx>
          <w:tblCellMar>
            <w:top w:w="15" w:type="dxa"/>
            <w:left w:w="15" w:type="dxa"/>
            <w:bottom w:w="15" w:type="dxa"/>
            <w:right w:w="15" w:type="dxa"/>
          </w:tblCellMar>
        </w:tblPrEx>
        <w:trPr>
          <w:trHeight w:val="2537" w:hRule="atLeast"/>
          <w:jc w:val="center"/>
        </w:trPr>
        <w:tc>
          <w:tcPr>
            <w:tcW w:w="311"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8-1</w:t>
            </w:r>
          </w:p>
        </w:tc>
        <w:tc>
          <w:tcPr>
            <w:tcW w:w="953"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对外交流与合作项目</w:t>
            </w:r>
          </w:p>
        </w:tc>
        <w:tc>
          <w:tcPr>
            <w:tcW w:w="138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2023.01-2025.12</w:t>
            </w:r>
          </w:p>
        </w:tc>
        <w:tc>
          <w:tcPr>
            <w:tcW w:w="4449"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bCs/>
                <w:color w:val="000000"/>
                <w:sz w:val="18"/>
                <w:szCs w:val="18"/>
              </w:rPr>
            </w:pPr>
            <w:r>
              <w:rPr>
                <w:rFonts w:hint="eastAsia" w:ascii="Times New Roman" w:hAnsi="Times New Roman" w:eastAsia="宋体" w:cs="Times New Roman"/>
                <w:bCs/>
                <w:color w:val="000000"/>
                <w:sz w:val="18"/>
                <w:szCs w:val="18"/>
              </w:rPr>
              <w:t>加强与省内外优质高校合作，主动嫁接成熟中外合作办学项目，总结与香港、澳门学校科研合作和交流经验，构建成熟师生交流项目，承接“走出去”合作企业员工技术技能培训和技术服务，打造中华优秀传统文化对外输出平台</w:t>
            </w:r>
          </w:p>
        </w:tc>
        <w:tc>
          <w:tcPr>
            <w:tcW w:w="437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bCs/>
                <w:color w:val="000000"/>
                <w:sz w:val="18"/>
                <w:szCs w:val="18"/>
              </w:rPr>
            </w:pPr>
            <w:r>
              <w:rPr>
                <w:rFonts w:hint="eastAsia" w:ascii="Times New Roman" w:hAnsi="Times New Roman" w:eastAsia="宋体" w:cs="Times New Roman"/>
                <w:bCs/>
                <w:color w:val="000000"/>
                <w:sz w:val="18"/>
                <w:szCs w:val="18"/>
              </w:rPr>
              <w:t>服务国家对外开放战略，持续开展香港高中生社会公民科内地交流项目，加强与澳门科技大学科研合作，紧跟国际电子信息产业发展趋势，通过“请进来”和“走出去”相结合方式，构建电子信息产业国（境）外合作办学、学分互认、国际职业资格认证、师生交流、国际师资队伍建设等国际化合作平台，培养一批具有中国情怀、国际视野、国际意识的学生。</w:t>
            </w:r>
          </w:p>
        </w:tc>
        <w:tc>
          <w:tcPr>
            <w:tcW w:w="492" w:type="dxa"/>
            <w:gridSpan w:val="2"/>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35</w:t>
            </w:r>
          </w:p>
        </w:tc>
        <w:tc>
          <w:tcPr>
            <w:tcW w:w="648"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5</w:t>
            </w:r>
          </w:p>
        </w:tc>
        <w:tc>
          <w:tcPr>
            <w:tcW w:w="576"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15</w:t>
            </w:r>
          </w:p>
        </w:tc>
        <w:tc>
          <w:tcPr>
            <w:tcW w:w="576"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15</w:t>
            </w:r>
          </w:p>
        </w:tc>
        <w:tc>
          <w:tcPr>
            <w:tcW w:w="58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p>
        </w:tc>
      </w:tr>
      <w:tr>
        <w:tblPrEx>
          <w:tblCellMar>
            <w:top w:w="15" w:type="dxa"/>
            <w:left w:w="15" w:type="dxa"/>
            <w:bottom w:w="15" w:type="dxa"/>
            <w:right w:w="15" w:type="dxa"/>
          </w:tblCellMar>
        </w:tblPrEx>
        <w:trPr>
          <w:trHeight w:val="1112" w:hRule="atLeast"/>
          <w:jc w:val="center"/>
        </w:trPr>
        <w:tc>
          <w:tcPr>
            <w:tcW w:w="311"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p>
        </w:tc>
        <w:tc>
          <w:tcPr>
            <w:tcW w:w="953"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九、自选项目</w:t>
            </w:r>
          </w:p>
        </w:tc>
        <w:tc>
          <w:tcPr>
            <w:tcW w:w="138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2023.01-2025.12</w:t>
            </w:r>
          </w:p>
        </w:tc>
        <w:tc>
          <w:tcPr>
            <w:tcW w:w="4449"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bCs/>
                <w:color w:val="000000"/>
                <w:sz w:val="18"/>
                <w:szCs w:val="18"/>
              </w:rPr>
            </w:pPr>
            <w:r>
              <w:rPr>
                <w:rFonts w:hint="eastAsia" w:ascii="Times New Roman" w:hAnsi="Times New Roman" w:eastAsia="宋体" w:cs="Times New Roman"/>
                <w:bCs/>
                <w:color w:val="000000"/>
                <w:sz w:val="18"/>
                <w:szCs w:val="18"/>
              </w:rPr>
              <w:t>∕</w:t>
            </w:r>
          </w:p>
        </w:tc>
        <w:tc>
          <w:tcPr>
            <w:tcW w:w="437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bCs/>
                <w:color w:val="000000"/>
                <w:sz w:val="18"/>
                <w:szCs w:val="18"/>
              </w:rPr>
            </w:pPr>
            <w:r>
              <w:rPr>
                <w:rFonts w:hint="eastAsia" w:ascii="Times New Roman" w:hAnsi="Times New Roman" w:eastAsia="宋体" w:cs="Times New Roman"/>
                <w:bCs/>
                <w:color w:val="000000"/>
                <w:sz w:val="18"/>
                <w:szCs w:val="18"/>
              </w:rPr>
              <w:t>∕</w:t>
            </w:r>
          </w:p>
        </w:tc>
        <w:tc>
          <w:tcPr>
            <w:tcW w:w="492" w:type="dxa"/>
            <w:gridSpan w:val="2"/>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216</w:t>
            </w:r>
          </w:p>
        </w:tc>
        <w:tc>
          <w:tcPr>
            <w:tcW w:w="648"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52</w:t>
            </w:r>
          </w:p>
        </w:tc>
        <w:tc>
          <w:tcPr>
            <w:tcW w:w="576"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56</w:t>
            </w:r>
          </w:p>
        </w:tc>
        <w:tc>
          <w:tcPr>
            <w:tcW w:w="576"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108</w:t>
            </w:r>
          </w:p>
        </w:tc>
        <w:tc>
          <w:tcPr>
            <w:tcW w:w="58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p>
        </w:tc>
      </w:tr>
      <w:tr>
        <w:tblPrEx>
          <w:tblCellMar>
            <w:top w:w="15" w:type="dxa"/>
            <w:left w:w="15" w:type="dxa"/>
            <w:bottom w:w="15" w:type="dxa"/>
            <w:right w:w="15" w:type="dxa"/>
          </w:tblCellMar>
        </w:tblPrEx>
        <w:trPr>
          <w:trHeight w:val="2537" w:hRule="atLeast"/>
          <w:jc w:val="center"/>
        </w:trPr>
        <w:tc>
          <w:tcPr>
            <w:tcW w:w="311"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9</w:t>
            </w:r>
            <w:r>
              <w:rPr>
                <w:rFonts w:ascii="Times New Roman" w:hAnsi="Times New Roman" w:eastAsia="宋体" w:cs="Times New Roman"/>
                <w:color w:val="000000"/>
                <w:sz w:val="18"/>
                <w:szCs w:val="18"/>
              </w:rPr>
              <w:t>-1</w:t>
            </w:r>
          </w:p>
        </w:tc>
        <w:tc>
          <w:tcPr>
            <w:tcW w:w="953"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践行习近平文化思想，红色文化融入育人实践项目</w:t>
            </w:r>
          </w:p>
        </w:tc>
        <w:tc>
          <w:tcPr>
            <w:tcW w:w="138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2023.01-2025.12</w:t>
            </w:r>
          </w:p>
        </w:tc>
        <w:tc>
          <w:tcPr>
            <w:tcW w:w="4449" w:type="dxa"/>
            <w:tcBorders>
              <w:top w:val="single" w:color="000000" w:sz="4" w:space="0"/>
              <w:left w:val="single" w:color="000000" w:sz="4" w:space="0"/>
              <w:bottom w:val="single" w:color="000000" w:sz="4" w:space="0"/>
              <w:right w:val="single" w:color="000000" w:sz="4" w:space="0"/>
            </w:tcBorders>
            <w:vAlign w:val="center"/>
          </w:tcPr>
          <w:p>
            <w:pPr>
              <w:jc w:val="left"/>
              <w:rPr>
                <w:rFonts w:ascii="Times New Roman" w:hAnsi="Times New Roman" w:eastAsia="宋体" w:cs="Times New Roman"/>
                <w:bCs/>
                <w:color w:val="000000"/>
                <w:sz w:val="18"/>
                <w:szCs w:val="18"/>
              </w:rPr>
            </w:pPr>
            <w:r>
              <w:rPr>
                <w:rFonts w:hint="eastAsia" w:ascii="Times New Roman" w:hAnsi="Times New Roman" w:eastAsia="宋体" w:cs="Times New Roman"/>
                <w:bCs/>
                <w:color w:val="000000"/>
                <w:sz w:val="18"/>
                <w:szCs w:val="18"/>
              </w:rPr>
              <w:t>培育一批优质教学资源，打造一批惠工特色的 “思政课程+课程思政” 精品课程，建设一支素质优良的思政课教师队伍，实施互联网时代“数字马院”工程，把马克思主义学校建设成为具有鲜明特色和影响力的思想阵地，惠州一流的爱国主义教育基地。</w:t>
            </w:r>
          </w:p>
        </w:tc>
        <w:tc>
          <w:tcPr>
            <w:tcW w:w="4370" w:type="dxa"/>
            <w:tcBorders>
              <w:top w:val="single" w:color="000000" w:sz="4" w:space="0"/>
              <w:left w:val="single" w:color="000000" w:sz="4" w:space="0"/>
              <w:bottom w:val="single" w:color="000000" w:sz="4" w:space="0"/>
              <w:right w:val="single" w:color="000000" w:sz="4" w:space="0"/>
            </w:tcBorders>
            <w:vAlign w:val="center"/>
          </w:tcPr>
          <w:p>
            <w:pPr>
              <w:jc w:val="left"/>
              <w:rPr>
                <w:rFonts w:ascii="Times New Roman" w:hAnsi="Times New Roman" w:eastAsia="宋体" w:cs="Times New Roman"/>
                <w:bCs/>
                <w:color w:val="000000"/>
                <w:sz w:val="18"/>
                <w:szCs w:val="18"/>
              </w:rPr>
            </w:pPr>
            <w:r>
              <w:rPr>
                <w:rFonts w:hint="eastAsia" w:ascii="Times New Roman" w:hAnsi="Times New Roman" w:eastAsia="宋体" w:cs="Times New Roman"/>
                <w:bCs/>
                <w:color w:val="000000"/>
                <w:sz w:val="18"/>
                <w:szCs w:val="18"/>
              </w:rPr>
              <w:t>实施“数字马院”工程、开展红色文化特色的“名师金课”建设、组建高水平特色师资队伍、推动红色文化案例库建设</w:t>
            </w:r>
          </w:p>
        </w:tc>
        <w:tc>
          <w:tcPr>
            <w:tcW w:w="492" w:type="dxa"/>
            <w:gridSpan w:val="2"/>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200</w:t>
            </w:r>
          </w:p>
        </w:tc>
        <w:tc>
          <w:tcPr>
            <w:tcW w:w="648"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50</w:t>
            </w:r>
          </w:p>
        </w:tc>
        <w:tc>
          <w:tcPr>
            <w:tcW w:w="576"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50</w:t>
            </w:r>
          </w:p>
        </w:tc>
        <w:tc>
          <w:tcPr>
            <w:tcW w:w="576"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100</w:t>
            </w:r>
          </w:p>
        </w:tc>
        <w:tc>
          <w:tcPr>
            <w:tcW w:w="58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p>
        </w:tc>
      </w:tr>
      <w:tr>
        <w:tblPrEx>
          <w:tblCellMar>
            <w:top w:w="15" w:type="dxa"/>
            <w:left w:w="15" w:type="dxa"/>
            <w:bottom w:w="15" w:type="dxa"/>
            <w:right w:w="15" w:type="dxa"/>
          </w:tblCellMar>
        </w:tblPrEx>
        <w:trPr>
          <w:trHeight w:val="1365" w:hRule="atLeast"/>
          <w:jc w:val="center"/>
        </w:trPr>
        <w:tc>
          <w:tcPr>
            <w:tcW w:w="311"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9</w:t>
            </w:r>
            <w:r>
              <w:rPr>
                <w:rFonts w:ascii="Times New Roman" w:hAnsi="Times New Roman" w:eastAsia="宋体" w:cs="Times New Roman"/>
                <w:color w:val="000000"/>
                <w:sz w:val="18"/>
                <w:szCs w:val="18"/>
              </w:rPr>
              <w:t>-</w:t>
            </w:r>
            <w:r>
              <w:rPr>
                <w:rFonts w:hint="eastAsia" w:ascii="Times New Roman" w:hAnsi="Times New Roman" w:eastAsia="宋体" w:cs="Times New Roman"/>
                <w:color w:val="000000"/>
                <w:sz w:val="18"/>
                <w:szCs w:val="18"/>
              </w:rPr>
              <w:t>2</w:t>
            </w:r>
          </w:p>
        </w:tc>
        <w:tc>
          <w:tcPr>
            <w:tcW w:w="953"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弘扬爱国主义精神，国防教育文明实践建设项目</w:t>
            </w:r>
          </w:p>
        </w:tc>
        <w:tc>
          <w:tcPr>
            <w:tcW w:w="138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2023.01-2025.12</w:t>
            </w:r>
          </w:p>
        </w:tc>
        <w:tc>
          <w:tcPr>
            <w:tcW w:w="4449"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bCs/>
                <w:color w:val="000000"/>
                <w:sz w:val="18"/>
                <w:szCs w:val="18"/>
              </w:rPr>
            </w:pPr>
            <w:r>
              <w:rPr>
                <w:rFonts w:hint="eastAsia" w:ascii="Times New Roman" w:hAnsi="Times New Roman" w:eastAsia="宋体" w:cs="Times New Roman"/>
                <w:bCs/>
                <w:color w:val="000000"/>
                <w:sz w:val="18"/>
                <w:szCs w:val="18"/>
              </w:rPr>
              <w:t>打造国防教育教学团队，组建国防教学科研团队，申报国家级省级课题，和驻地部队签署共建共育协议，丰富国防教育形式，提升国防教育与人工智能相结合，深入开展“爱国旗”“护国旗”“学国旗法”实践教育活动。</w:t>
            </w:r>
          </w:p>
        </w:tc>
        <w:tc>
          <w:tcPr>
            <w:tcW w:w="4370" w:type="dxa"/>
            <w:tcBorders>
              <w:top w:val="single" w:color="000000" w:sz="4" w:space="0"/>
              <w:left w:val="single" w:color="000000" w:sz="4" w:space="0"/>
              <w:bottom w:val="single" w:color="000000" w:sz="4" w:space="0"/>
              <w:right w:val="single" w:color="000000" w:sz="4" w:space="0"/>
            </w:tcBorders>
            <w:vAlign w:val="center"/>
          </w:tcPr>
          <w:p>
            <w:pPr>
              <w:jc w:val="left"/>
              <w:rPr>
                <w:rFonts w:ascii="Times New Roman" w:hAnsi="Times New Roman" w:eastAsia="宋体" w:cs="Times New Roman"/>
                <w:bCs/>
                <w:color w:val="000000"/>
                <w:sz w:val="18"/>
                <w:szCs w:val="18"/>
              </w:rPr>
            </w:pPr>
            <w:r>
              <w:rPr>
                <w:rFonts w:hint="eastAsia" w:ascii="Times New Roman" w:hAnsi="Times New Roman" w:eastAsia="宋体" w:cs="Times New Roman"/>
                <w:bCs/>
                <w:color w:val="000000"/>
                <w:sz w:val="18"/>
                <w:szCs w:val="18"/>
              </w:rPr>
              <w:t>组织学生参加广东省教育厅等组织的国防知识参与率到达9</w:t>
            </w:r>
            <w:r>
              <w:rPr>
                <w:rFonts w:ascii="Times New Roman" w:hAnsi="Times New Roman" w:eastAsia="宋体" w:cs="Times New Roman"/>
                <w:bCs/>
                <w:color w:val="000000"/>
                <w:sz w:val="18"/>
                <w:szCs w:val="18"/>
              </w:rPr>
              <w:t>0%以上，教师参</w:t>
            </w:r>
            <w:r>
              <w:rPr>
                <w:rFonts w:hint="eastAsia" w:ascii="Times New Roman" w:hAnsi="Times New Roman" w:eastAsia="宋体" w:cs="Times New Roman"/>
                <w:bCs/>
                <w:color w:val="000000"/>
                <w:sz w:val="18"/>
                <w:szCs w:val="18"/>
              </w:rPr>
              <w:t>加教师教学能力比</w:t>
            </w:r>
            <w:r>
              <w:rPr>
                <w:rFonts w:ascii="Times New Roman" w:hAnsi="Times New Roman" w:eastAsia="宋体" w:cs="Times New Roman"/>
                <w:bCs/>
                <w:color w:val="000000"/>
                <w:sz w:val="18"/>
                <w:szCs w:val="18"/>
              </w:rPr>
              <w:t>赛获得二等奖以上奖项。</w:t>
            </w:r>
            <w:r>
              <w:rPr>
                <w:rFonts w:hint="eastAsia" w:ascii="Times New Roman" w:hAnsi="Times New Roman" w:eastAsia="宋体" w:cs="Times New Roman"/>
                <w:bCs/>
                <w:color w:val="000000"/>
                <w:sz w:val="18"/>
                <w:szCs w:val="18"/>
              </w:rPr>
              <w:t>每年组织1000人次</w:t>
            </w:r>
            <w:r>
              <w:rPr>
                <w:rFonts w:ascii="Times New Roman" w:hAnsi="Times New Roman" w:eastAsia="宋体" w:cs="Times New Roman"/>
                <w:bCs/>
                <w:color w:val="000000"/>
                <w:sz w:val="18"/>
                <w:szCs w:val="18"/>
              </w:rPr>
              <w:t>“走进军营”见习见学，军地联办的“大</w:t>
            </w:r>
            <w:r>
              <w:rPr>
                <w:rFonts w:hint="eastAsia" w:ascii="Times New Roman" w:hAnsi="Times New Roman" w:eastAsia="宋体" w:cs="Times New Roman"/>
                <w:bCs/>
                <w:color w:val="000000"/>
                <w:sz w:val="18"/>
                <w:szCs w:val="18"/>
              </w:rPr>
              <w:t>中小</w:t>
            </w:r>
            <w:r>
              <w:rPr>
                <w:rFonts w:ascii="Times New Roman" w:hAnsi="Times New Roman" w:eastAsia="宋体" w:cs="Times New Roman"/>
                <w:bCs/>
                <w:color w:val="000000"/>
                <w:sz w:val="18"/>
                <w:szCs w:val="18"/>
              </w:rPr>
              <w:t>学生军事夏</w:t>
            </w:r>
            <w:r>
              <w:rPr>
                <w:rFonts w:hint="eastAsia" w:ascii="Times New Roman" w:hAnsi="Times New Roman" w:eastAsia="宋体" w:cs="Times New Roman"/>
                <w:bCs/>
                <w:color w:val="000000"/>
                <w:sz w:val="18"/>
                <w:szCs w:val="18"/>
              </w:rPr>
              <w:t>（冬）</w:t>
            </w:r>
            <w:r>
              <w:rPr>
                <w:rFonts w:ascii="Times New Roman" w:hAnsi="Times New Roman" w:eastAsia="宋体" w:cs="Times New Roman"/>
                <w:bCs/>
                <w:color w:val="000000"/>
                <w:sz w:val="18"/>
                <w:szCs w:val="18"/>
              </w:rPr>
              <w:t xml:space="preserve">令营”， </w:t>
            </w:r>
            <w:r>
              <w:rPr>
                <w:rFonts w:hint="eastAsia" w:ascii="Times New Roman" w:hAnsi="Times New Roman" w:eastAsia="宋体" w:cs="Times New Roman"/>
                <w:bCs/>
                <w:color w:val="000000"/>
                <w:sz w:val="18"/>
                <w:szCs w:val="18"/>
              </w:rPr>
              <w:t>开展</w:t>
            </w:r>
            <w:r>
              <w:rPr>
                <w:rFonts w:ascii="Times New Roman" w:hAnsi="Times New Roman" w:eastAsia="宋体" w:cs="Times New Roman"/>
                <w:bCs/>
                <w:color w:val="000000"/>
                <w:sz w:val="18"/>
                <w:szCs w:val="18"/>
              </w:rPr>
              <w:t>名师名家到部队讲座</w:t>
            </w:r>
            <w:r>
              <w:rPr>
                <w:rFonts w:hint="eastAsia" w:ascii="Times New Roman" w:hAnsi="Times New Roman" w:eastAsia="宋体" w:cs="Times New Roman"/>
                <w:bCs/>
                <w:color w:val="000000"/>
                <w:sz w:val="18"/>
                <w:szCs w:val="18"/>
              </w:rPr>
              <w:t>以及模范军人进国防教育宣讲</w:t>
            </w:r>
            <w:r>
              <w:rPr>
                <w:rFonts w:ascii="Times New Roman" w:hAnsi="Times New Roman" w:eastAsia="宋体" w:cs="Times New Roman"/>
                <w:bCs/>
                <w:color w:val="000000"/>
                <w:sz w:val="18"/>
                <w:szCs w:val="18"/>
              </w:rPr>
              <w:t>等活动。</w:t>
            </w:r>
            <w:r>
              <w:rPr>
                <w:rFonts w:hint="eastAsia" w:ascii="Times New Roman" w:hAnsi="Times New Roman" w:eastAsia="宋体" w:cs="Times New Roman"/>
                <w:bCs/>
                <w:color w:val="000000"/>
                <w:sz w:val="18"/>
                <w:szCs w:val="18"/>
              </w:rPr>
              <w:t>在《军事理论课》教学中加入参观革命史迹、主题场馆等实践教学，同时开展国防教育知识竞赛、文艺演出等活动，探索运用人工智能等现代高科技手段，增强国防教育的吸引力、感召力。</w:t>
            </w:r>
          </w:p>
        </w:tc>
        <w:tc>
          <w:tcPr>
            <w:tcW w:w="492" w:type="dxa"/>
            <w:gridSpan w:val="2"/>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16</w:t>
            </w:r>
          </w:p>
        </w:tc>
        <w:tc>
          <w:tcPr>
            <w:tcW w:w="648"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2</w:t>
            </w:r>
          </w:p>
        </w:tc>
        <w:tc>
          <w:tcPr>
            <w:tcW w:w="576"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6</w:t>
            </w:r>
          </w:p>
        </w:tc>
        <w:tc>
          <w:tcPr>
            <w:tcW w:w="576"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8</w:t>
            </w:r>
          </w:p>
        </w:tc>
        <w:tc>
          <w:tcPr>
            <w:tcW w:w="58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p>
        </w:tc>
      </w:tr>
      <w:tr>
        <w:tblPrEx>
          <w:tblCellMar>
            <w:top w:w="15" w:type="dxa"/>
            <w:left w:w="15" w:type="dxa"/>
            <w:bottom w:w="15" w:type="dxa"/>
            <w:right w:w="15" w:type="dxa"/>
          </w:tblCellMar>
        </w:tblPrEx>
        <w:trPr>
          <w:trHeight w:val="286" w:hRule="atLeast"/>
          <w:jc w:val="center"/>
        </w:trPr>
        <w:tc>
          <w:tcPr>
            <w:tcW w:w="11463" w:type="dxa"/>
            <w:gridSpan w:val="5"/>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合计</w:t>
            </w:r>
          </w:p>
        </w:tc>
        <w:tc>
          <w:tcPr>
            <w:tcW w:w="492" w:type="dxa"/>
            <w:gridSpan w:val="2"/>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24763</w:t>
            </w:r>
          </w:p>
        </w:tc>
        <w:tc>
          <w:tcPr>
            <w:tcW w:w="648"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4413</w:t>
            </w:r>
          </w:p>
        </w:tc>
        <w:tc>
          <w:tcPr>
            <w:tcW w:w="576"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8838</w:t>
            </w:r>
          </w:p>
        </w:tc>
        <w:tc>
          <w:tcPr>
            <w:tcW w:w="576"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11512</w:t>
            </w:r>
          </w:p>
        </w:tc>
        <w:tc>
          <w:tcPr>
            <w:tcW w:w="58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color w:val="000000"/>
                <w:sz w:val="18"/>
                <w:szCs w:val="18"/>
              </w:rPr>
            </w:pPr>
          </w:p>
        </w:tc>
      </w:tr>
    </w:tbl>
    <w:p>
      <w:pPr>
        <w:spacing w:line="540" w:lineRule="exact"/>
        <w:rPr>
          <w:rFonts w:ascii="仿宋" w:hAnsi="仿宋" w:eastAsia="仿宋" w:cs="仿宋"/>
          <w:sz w:val="28"/>
          <w:szCs w:val="28"/>
        </w:rPr>
      </w:pP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B61A3432-ADCD-481C-AE3B-CA884D7DA07B}"/>
  </w:font>
  <w:font w:name="黑体">
    <w:panose1 w:val="02010609060101010101"/>
    <w:charset w:val="86"/>
    <w:family w:val="auto"/>
    <w:pitch w:val="default"/>
    <w:sig w:usb0="800002BF" w:usb1="38CF7CFA" w:usb2="00000016" w:usb3="00000000" w:csb0="00040001" w:csb1="00000000"/>
    <w:embedRegular r:id="rId2" w:fontKey="{4BD5372F-E365-44AE-B64F-0292A967F36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0873852D-62AF-4E66-B0CF-DA01889133D9}"/>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embedRegular r:id="rId4" w:fontKey="{DCC19027-511D-4729-8665-EDBF0370A7CB}"/>
  </w:font>
  <w:font w:name="仿宋_GB2312">
    <w:altName w:val="仿宋"/>
    <w:panose1 w:val="00000000000000000000"/>
    <w:charset w:val="86"/>
    <w:family w:val="modern"/>
    <w:pitch w:val="default"/>
    <w:sig w:usb0="00000000" w:usb1="00000000" w:usb2="00000010" w:usb3="00000000" w:csb0="00040000" w:csb1="00000000"/>
    <w:embedRegular r:id="rId5" w:fontKey="{6F922F8A-50D5-42FC-967E-FE4219CE9D3D}"/>
  </w:font>
  <w:font w:name="方正小标宋_GBK">
    <w:panose1 w:val="02000000000000000000"/>
    <w:charset w:val="86"/>
    <w:family w:val="auto"/>
    <w:pitch w:val="default"/>
    <w:sig w:usb0="A00002BF" w:usb1="38CF7CFA" w:usb2="00082016" w:usb3="00000000" w:csb0="00040001" w:csb1="00000000"/>
    <w:embedRegular r:id="rId6" w:fontKey="{DBFE445A-2EF2-4FCB-8E47-BCBA9110F4DF}"/>
  </w:font>
  <w:font w:name="等线">
    <w:panose1 w:val="02010600030101010101"/>
    <w:charset w:val="86"/>
    <w:family w:val="auto"/>
    <w:pitch w:val="default"/>
    <w:sig w:usb0="A00002BF" w:usb1="38CF7CFA" w:usb2="00000016" w:usb3="00000000" w:csb0="0004000F" w:csb1="00000000"/>
    <w:embedRegular r:id="rId7" w:fontKey="{DCB521FB-0166-405C-91A8-D94393976BC1}"/>
  </w:font>
  <w:font w:name="MS Mincho">
    <w:panose1 w:val="02020609040205080304"/>
    <w:charset w:val="80"/>
    <w:family w:val="modern"/>
    <w:pitch w:val="default"/>
    <w:sig w:usb0="E00002FF" w:usb1="6AC7FDFB" w:usb2="00000012" w:usb3="00000000" w:csb0="4002009F" w:csb1="DFD70000"/>
    <w:embedRegular r:id="rId8" w:fontKey="{846D7167-A9E4-4AA8-9720-232867B12E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ascii="Times New Roman" w:hAnsi="Times New Roman" w:eastAsia="宋体" w:cs="Times New Roman"/>
                              <w:sz w:val="21"/>
                              <w:szCs w:val="21"/>
                            </w:rPr>
                          </w:pP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 PAGE  \* MERGEFORMAT </w:instrText>
                          </w:r>
                          <w:r>
                            <w:rPr>
                              <w:rFonts w:ascii="Times New Roman" w:hAnsi="Times New Roman" w:eastAsia="宋体" w:cs="Times New Roman"/>
                              <w:sz w:val="21"/>
                              <w:szCs w:val="21"/>
                            </w:rPr>
                            <w:fldChar w:fldCharType="separate"/>
                          </w:r>
                          <w:r>
                            <w:rPr>
                              <w:rFonts w:ascii="Times New Roman" w:hAnsi="Times New Roman" w:eastAsia="宋体" w:cs="Times New Roman"/>
                              <w:sz w:val="21"/>
                              <w:szCs w:val="21"/>
                            </w:rPr>
                            <w:t>II</w:t>
                          </w:r>
                          <w:r>
                            <w:rPr>
                              <w:rFonts w:ascii="Times New Roman" w:hAnsi="Times New Roman" w:eastAsia="宋体"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10"/>
                      <w:rPr>
                        <w:rFonts w:ascii="Times New Roman" w:hAnsi="Times New Roman" w:eastAsia="宋体" w:cs="Times New Roman"/>
                        <w:sz w:val="21"/>
                        <w:szCs w:val="21"/>
                      </w:rPr>
                    </w:pP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 PAGE  \* MERGEFORMAT </w:instrText>
                    </w:r>
                    <w:r>
                      <w:rPr>
                        <w:rFonts w:ascii="Times New Roman" w:hAnsi="Times New Roman" w:eastAsia="宋体" w:cs="Times New Roman"/>
                        <w:sz w:val="21"/>
                        <w:szCs w:val="21"/>
                      </w:rPr>
                      <w:fldChar w:fldCharType="separate"/>
                    </w:r>
                    <w:r>
                      <w:rPr>
                        <w:rFonts w:ascii="Times New Roman" w:hAnsi="Times New Roman" w:eastAsia="宋体" w:cs="Times New Roman"/>
                        <w:sz w:val="21"/>
                        <w:szCs w:val="21"/>
                      </w:rPr>
                      <w:t>II</w:t>
                    </w:r>
                    <w:r>
                      <w:rPr>
                        <w:rFonts w:ascii="Times New Roman" w:hAnsi="Times New Roman" w:eastAsia="宋体" w:cs="Times New Roman"/>
                        <w:sz w:val="21"/>
                        <w:szCs w:val="21"/>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165</w:t>
                          </w:r>
                          <w:r>
                            <w:rPr>
                              <w:rFonts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10"/>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165</w:t>
                    </w:r>
                    <w:r>
                      <w:rPr>
                        <w:rFonts w:ascii="Times New Roman" w:hAnsi="Times New Roman" w:cs="Times New Roma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p>
    <w:pPr>
      <w:pStyle w:val="1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820C8D"/>
    <w:multiLevelType w:val="singleLevel"/>
    <w:tmpl w:val="97820C8D"/>
    <w:lvl w:ilvl="0" w:tentative="0">
      <w:start w:val="1"/>
      <w:numFmt w:val="decimal"/>
      <w:suff w:val="nothing"/>
      <w:lvlText w:val="（%1）"/>
      <w:lvlJc w:val="left"/>
    </w:lvl>
  </w:abstractNum>
  <w:abstractNum w:abstractNumId="1">
    <w:nsid w:val="155ED8F5"/>
    <w:multiLevelType w:val="singleLevel"/>
    <w:tmpl w:val="155ED8F5"/>
    <w:lvl w:ilvl="0" w:tentative="0">
      <w:start w:val="5"/>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Q0ZmEwZThlM2FjNTVlMjIwMWU5Y2ViZGZlODJjNDAifQ=="/>
  </w:docVars>
  <w:rsids>
    <w:rsidRoot w:val="71251FE1"/>
    <w:rsid w:val="00002246"/>
    <w:rsid w:val="0000233C"/>
    <w:rsid w:val="00005323"/>
    <w:rsid w:val="000066B7"/>
    <w:rsid w:val="000107EA"/>
    <w:rsid w:val="00011FA6"/>
    <w:rsid w:val="00012038"/>
    <w:rsid w:val="00012E40"/>
    <w:rsid w:val="00013133"/>
    <w:rsid w:val="00016297"/>
    <w:rsid w:val="00023780"/>
    <w:rsid w:val="00024A06"/>
    <w:rsid w:val="00026FDC"/>
    <w:rsid w:val="00030492"/>
    <w:rsid w:val="00032584"/>
    <w:rsid w:val="000336DA"/>
    <w:rsid w:val="00036715"/>
    <w:rsid w:val="00042CE1"/>
    <w:rsid w:val="00044DC9"/>
    <w:rsid w:val="000470F6"/>
    <w:rsid w:val="0004726D"/>
    <w:rsid w:val="00050F82"/>
    <w:rsid w:val="0005118C"/>
    <w:rsid w:val="000511DB"/>
    <w:rsid w:val="0005245A"/>
    <w:rsid w:val="00054D8A"/>
    <w:rsid w:val="000564C6"/>
    <w:rsid w:val="000634F7"/>
    <w:rsid w:val="00063CB4"/>
    <w:rsid w:val="00066A6F"/>
    <w:rsid w:val="00073180"/>
    <w:rsid w:val="000733A3"/>
    <w:rsid w:val="00074750"/>
    <w:rsid w:val="00074BBB"/>
    <w:rsid w:val="00081C63"/>
    <w:rsid w:val="00082038"/>
    <w:rsid w:val="00084EBF"/>
    <w:rsid w:val="00085BD0"/>
    <w:rsid w:val="00092D0E"/>
    <w:rsid w:val="00093F8E"/>
    <w:rsid w:val="00095519"/>
    <w:rsid w:val="00095A5F"/>
    <w:rsid w:val="00096497"/>
    <w:rsid w:val="000A0D26"/>
    <w:rsid w:val="000A0F2D"/>
    <w:rsid w:val="000A3594"/>
    <w:rsid w:val="000A5F28"/>
    <w:rsid w:val="000A6B1C"/>
    <w:rsid w:val="000A7CE3"/>
    <w:rsid w:val="000B0D23"/>
    <w:rsid w:val="000B166E"/>
    <w:rsid w:val="000B1A9E"/>
    <w:rsid w:val="000B1DA7"/>
    <w:rsid w:val="000B6385"/>
    <w:rsid w:val="000B695D"/>
    <w:rsid w:val="000B7CDB"/>
    <w:rsid w:val="000C02FE"/>
    <w:rsid w:val="000C15B7"/>
    <w:rsid w:val="000C259A"/>
    <w:rsid w:val="000C6BE0"/>
    <w:rsid w:val="000D16A4"/>
    <w:rsid w:val="000D1E2D"/>
    <w:rsid w:val="000D23B5"/>
    <w:rsid w:val="000D7887"/>
    <w:rsid w:val="000E313E"/>
    <w:rsid w:val="000E5FBB"/>
    <w:rsid w:val="000F2299"/>
    <w:rsid w:val="000F3F2E"/>
    <w:rsid w:val="000F5DC0"/>
    <w:rsid w:val="001023EE"/>
    <w:rsid w:val="0010421F"/>
    <w:rsid w:val="001068EA"/>
    <w:rsid w:val="001106F5"/>
    <w:rsid w:val="0011198F"/>
    <w:rsid w:val="00112FF3"/>
    <w:rsid w:val="001152F6"/>
    <w:rsid w:val="00116519"/>
    <w:rsid w:val="00120D2F"/>
    <w:rsid w:val="00122ADC"/>
    <w:rsid w:val="00127C1C"/>
    <w:rsid w:val="00127DCF"/>
    <w:rsid w:val="00127DE4"/>
    <w:rsid w:val="00134C05"/>
    <w:rsid w:val="001353C3"/>
    <w:rsid w:val="001356A9"/>
    <w:rsid w:val="001356CA"/>
    <w:rsid w:val="00137E9E"/>
    <w:rsid w:val="001405C5"/>
    <w:rsid w:val="00140919"/>
    <w:rsid w:val="00140ABC"/>
    <w:rsid w:val="00141733"/>
    <w:rsid w:val="0014217E"/>
    <w:rsid w:val="00142299"/>
    <w:rsid w:val="0014532B"/>
    <w:rsid w:val="001467FF"/>
    <w:rsid w:val="00151409"/>
    <w:rsid w:val="001708D9"/>
    <w:rsid w:val="00170F13"/>
    <w:rsid w:val="00171673"/>
    <w:rsid w:val="001734C5"/>
    <w:rsid w:val="00174309"/>
    <w:rsid w:val="00176FC9"/>
    <w:rsid w:val="00177C60"/>
    <w:rsid w:val="00180CB9"/>
    <w:rsid w:val="0018127C"/>
    <w:rsid w:val="001858EA"/>
    <w:rsid w:val="00190A87"/>
    <w:rsid w:val="001943F2"/>
    <w:rsid w:val="00195AB8"/>
    <w:rsid w:val="0019742D"/>
    <w:rsid w:val="00197957"/>
    <w:rsid w:val="001A0166"/>
    <w:rsid w:val="001A214A"/>
    <w:rsid w:val="001A626E"/>
    <w:rsid w:val="001A7B8A"/>
    <w:rsid w:val="001B1492"/>
    <w:rsid w:val="001B1FB9"/>
    <w:rsid w:val="001B24B5"/>
    <w:rsid w:val="001B2543"/>
    <w:rsid w:val="001B37E8"/>
    <w:rsid w:val="001C2DF5"/>
    <w:rsid w:val="001C41E9"/>
    <w:rsid w:val="001C7DA1"/>
    <w:rsid w:val="001D11ED"/>
    <w:rsid w:val="001D1B7F"/>
    <w:rsid w:val="001D1FBC"/>
    <w:rsid w:val="001D2CB6"/>
    <w:rsid w:val="001D774D"/>
    <w:rsid w:val="001E2D5E"/>
    <w:rsid w:val="001E4554"/>
    <w:rsid w:val="001F1D69"/>
    <w:rsid w:val="001F52A6"/>
    <w:rsid w:val="002026E3"/>
    <w:rsid w:val="00202E4C"/>
    <w:rsid w:val="00206389"/>
    <w:rsid w:val="00212C60"/>
    <w:rsid w:val="002160DB"/>
    <w:rsid w:val="00216D1A"/>
    <w:rsid w:val="00222C72"/>
    <w:rsid w:val="00225100"/>
    <w:rsid w:val="00231D55"/>
    <w:rsid w:val="002357E3"/>
    <w:rsid w:val="00235F07"/>
    <w:rsid w:val="00237877"/>
    <w:rsid w:val="00242878"/>
    <w:rsid w:val="00243363"/>
    <w:rsid w:val="00243D8B"/>
    <w:rsid w:val="00243F98"/>
    <w:rsid w:val="00252BAF"/>
    <w:rsid w:val="00252D4B"/>
    <w:rsid w:val="00253287"/>
    <w:rsid w:val="00253828"/>
    <w:rsid w:val="0025759D"/>
    <w:rsid w:val="002607EA"/>
    <w:rsid w:val="00261BFF"/>
    <w:rsid w:val="00263A4F"/>
    <w:rsid w:val="002667E6"/>
    <w:rsid w:val="00267D3A"/>
    <w:rsid w:val="002701C0"/>
    <w:rsid w:val="0027122C"/>
    <w:rsid w:val="00272837"/>
    <w:rsid w:val="002735C8"/>
    <w:rsid w:val="00276CFF"/>
    <w:rsid w:val="002852F9"/>
    <w:rsid w:val="00291453"/>
    <w:rsid w:val="00292EBD"/>
    <w:rsid w:val="00294698"/>
    <w:rsid w:val="00294ADB"/>
    <w:rsid w:val="002A027B"/>
    <w:rsid w:val="002A15E5"/>
    <w:rsid w:val="002A6734"/>
    <w:rsid w:val="002B6499"/>
    <w:rsid w:val="002C2386"/>
    <w:rsid w:val="002C36D4"/>
    <w:rsid w:val="002C612E"/>
    <w:rsid w:val="002D21D5"/>
    <w:rsid w:val="002D3614"/>
    <w:rsid w:val="002D648C"/>
    <w:rsid w:val="002D7B1A"/>
    <w:rsid w:val="002D7E68"/>
    <w:rsid w:val="002E2C58"/>
    <w:rsid w:val="002F056A"/>
    <w:rsid w:val="002F4F36"/>
    <w:rsid w:val="002F533B"/>
    <w:rsid w:val="00301BC2"/>
    <w:rsid w:val="00303C36"/>
    <w:rsid w:val="00305F50"/>
    <w:rsid w:val="00313A09"/>
    <w:rsid w:val="00314139"/>
    <w:rsid w:val="00315B03"/>
    <w:rsid w:val="00321149"/>
    <w:rsid w:val="00325A7C"/>
    <w:rsid w:val="003267DE"/>
    <w:rsid w:val="00327B93"/>
    <w:rsid w:val="00330CE0"/>
    <w:rsid w:val="00334D17"/>
    <w:rsid w:val="00335EEB"/>
    <w:rsid w:val="003367EC"/>
    <w:rsid w:val="00336C5A"/>
    <w:rsid w:val="00344051"/>
    <w:rsid w:val="00345009"/>
    <w:rsid w:val="00346F6D"/>
    <w:rsid w:val="00350A73"/>
    <w:rsid w:val="00352AD9"/>
    <w:rsid w:val="003564B9"/>
    <w:rsid w:val="00356671"/>
    <w:rsid w:val="00364DF6"/>
    <w:rsid w:val="003709B0"/>
    <w:rsid w:val="00372877"/>
    <w:rsid w:val="00372DC2"/>
    <w:rsid w:val="00381754"/>
    <w:rsid w:val="00387F93"/>
    <w:rsid w:val="00393CC7"/>
    <w:rsid w:val="00395232"/>
    <w:rsid w:val="003A0DC5"/>
    <w:rsid w:val="003A180A"/>
    <w:rsid w:val="003A2B65"/>
    <w:rsid w:val="003A649B"/>
    <w:rsid w:val="003B0414"/>
    <w:rsid w:val="003B1059"/>
    <w:rsid w:val="003B1652"/>
    <w:rsid w:val="003B2240"/>
    <w:rsid w:val="003B28FA"/>
    <w:rsid w:val="003B4E37"/>
    <w:rsid w:val="003C0D5E"/>
    <w:rsid w:val="003C3A3C"/>
    <w:rsid w:val="003D0E21"/>
    <w:rsid w:val="003D1CAE"/>
    <w:rsid w:val="003D29A4"/>
    <w:rsid w:val="003D2D44"/>
    <w:rsid w:val="003D47D2"/>
    <w:rsid w:val="003D4C7C"/>
    <w:rsid w:val="003D50A0"/>
    <w:rsid w:val="003D6CC7"/>
    <w:rsid w:val="003E09DD"/>
    <w:rsid w:val="003F0B2A"/>
    <w:rsid w:val="003F120B"/>
    <w:rsid w:val="003F23C2"/>
    <w:rsid w:val="003F2C1E"/>
    <w:rsid w:val="003F6DA4"/>
    <w:rsid w:val="00403683"/>
    <w:rsid w:val="004041E5"/>
    <w:rsid w:val="00404F39"/>
    <w:rsid w:val="0040660A"/>
    <w:rsid w:val="00411AB2"/>
    <w:rsid w:val="00412215"/>
    <w:rsid w:val="00412E7B"/>
    <w:rsid w:val="004167A5"/>
    <w:rsid w:val="00421238"/>
    <w:rsid w:val="00422510"/>
    <w:rsid w:val="00434037"/>
    <w:rsid w:val="00434319"/>
    <w:rsid w:val="00434D9C"/>
    <w:rsid w:val="004371B6"/>
    <w:rsid w:val="00440AAD"/>
    <w:rsid w:val="00442797"/>
    <w:rsid w:val="00442D5C"/>
    <w:rsid w:val="0045123F"/>
    <w:rsid w:val="00452A40"/>
    <w:rsid w:val="00453F16"/>
    <w:rsid w:val="004557FB"/>
    <w:rsid w:val="004565A1"/>
    <w:rsid w:val="004567A7"/>
    <w:rsid w:val="00457240"/>
    <w:rsid w:val="00457B91"/>
    <w:rsid w:val="00462100"/>
    <w:rsid w:val="004671B1"/>
    <w:rsid w:val="00470C58"/>
    <w:rsid w:val="00471EC0"/>
    <w:rsid w:val="00473F7F"/>
    <w:rsid w:val="004744A2"/>
    <w:rsid w:val="00477D12"/>
    <w:rsid w:val="00482199"/>
    <w:rsid w:val="00485C62"/>
    <w:rsid w:val="004951D9"/>
    <w:rsid w:val="004A084D"/>
    <w:rsid w:val="004A2CEA"/>
    <w:rsid w:val="004A41B4"/>
    <w:rsid w:val="004A4DFC"/>
    <w:rsid w:val="004A523D"/>
    <w:rsid w:val="004B188D"/>
    <w:rsid w:val="004B24D6"/>
    <w:rsid w:val="004B7BBB"/>
    <w:rsid w:val="004C1DA2"/>
    <w:rsid w:val="004C3E5D"/>
    <w:rsid w:val="004C7F28"/>
    <w:rsid w:val="004D2977"/>
    <w:rsid w:val="004D2997"/>
    <w:rsid w:val="004E14AA"/>
    <w:rsid w:val="004E2611"/>
    <w:rsid w:val="004E3DAC"/>
    <w:rsid w:val="004E4791"/>
    <w:rsid w:val="004E5075"/>
    <w:rsid w:val="004F0DEF"/>
    <w:rsid w:val="004F206B"/>
    <w:rsid w:val="004F29EF"/>
    <w:rsid w:val="004F309F"/>
    <w:rsid w:val="004F7C90"/>
    <w:rsid w:val="004F7EA6"/>
    <w:rsid w:val="00505165"/>
    <w:rsid w:val="00511591"/>
    <w:rsid w:val="005146E9"/>
    <w:rsid w:val="00517442"/>
    <w:rsid w:val="00517613"/>
    <w:rsid w:val="00521135"/>
    <w:rsid w:val="00522BEF"/>
    <w:rsid w:val="00531E31"/>
    <w:rsid w:val="00532B31"/>
    <w:rsid w:val="005356A9"/>
    <w:rsid w:val="00536DEA"/>
    <w:rsid w:val="00544E68"/>
    <w:rsid w:val="00551519"/>
    <w:rsid w:val="00556306"/>
    <w:rsid w:val="00557868"/>
    <w:rsid w:val="00562534"/>
    <w:rsid w:val="005641F4"/>
    <w:rsid w:val="00572694"/>
    <w:rsid w:val="00573780"/>
    <w:rsid w:val="0057486D"/>
    <w:rsid w:val="00576768"/>
    <w:rsid w:val="00576C5A"/>
    <w:rsid w:val="00577A16"/>
    <w:rsid w:val="005802C6"/>
    <w:rsid w:val="005819C0"/>
    <w:rsid w:val="005819CD"/>
    <w:rsid w:val="0058512B"/>
    <w:rsid w:val="00586E89"/>
    <w:rsid w:val="005871AF"/>
    <w:rsid w:val="00590AAB"/>
    <w:rsid w:val="005953D0"/>
    <w:rsid w:val="00595F80"/>
    <w:rsid w:val="005A0A9E"/>
    <w:rsid w:val="005A0B48"/>
    <w:rsid w:val="005A0F46"/>
    <w:rsid w:val="005A2B8B"/>
    <w:rsid w:val="005A428B"/>
    <w:rsid w:val="005A513D"/>
    <w:rsid w:val="005A554F"/>
    <w:rsid w:val="005A66D6"/>
    <w:rsid w:val="005A6CD9"/>
    <w:rsid w:val="005A74E6"/>
    <w:rsid w:val="005B417E"/>
    <w:rsid w:val="005B573A"/>
    <w:rsid w:val="005B61B0"/>
    <w:rsid w:val="005C3A01"/>
    <w:rsid w:val="005C48D3"/>
    <w:rsid w:val="005C6DDF"/>
    <w:rsid w:val="005C798A"/>
    <w:rsid w:val="005D0C2A"/>
    <w:rsid w:val="005D4188"/>
    <w:rsid w:val="005D78C9"/>
    <w:rsid w:val="005E38AB"/>
    <w:rsid w:val="005E5AE8"/>
    <w:rsid w:val="005F0404"/>
    <w:rsid w:val="006002C8"/>
    <w:rsid w:val="006043F7"/>
    <w:rsid w:val="0060508D"/>
    <w:rsid w:val="00605CDF"/>
    <w:rsid w:val="00607D76"/>
    <w:rsid w:val="00610693"/>
    <w:rsid w:val="00612E57"/>
    <w:rsid w:val="006162B7"/>
    <w:rsid w:val="00624C37"/>
    <w:rsid w:val="006329C8"/>
    <w:rsid w:val="00633E0C"/>
    <w:rsid w:val="00634121"/>
    <w:rsid w:val="00634B97"/>
    <w:rsid w:val="00634DE6"/>
    <w:rsid w:val="00635C1B"/>
    <w:rsid w:val="006368CA"/>
    <w:rsid w:val="0064152D"/>
    <w:rsid w:val="00641EE2"/>
    <w:rsid w:val="00647F38"/>
    <w:rsid w:val="006523D3"/>
    <w:rsid w:val="0065293F"/>
    <w:rsid w:val="006536E0"/>
    <w:rsid w:val="0065397D"/>
    <w:rsid w:val="00660187"/>
    <w:rsid w:val="0066576A"/>
    <w:rsid w:val="006702B9"/>
    <w:rsid w:val="00673826"/>
    <w:rsid w:val="0067501C"/>
    <w:rsid w:val="00675D66"/>
    <w:rsid w:val="00676399"/>
    <w:rsid w:val="00676A96"/>
    <w:rsid w:val="00680CF2"/>
    <w:rsid w:val="00680EDD"/>
    <w:rsid w:val="00681167"/>
    <w:rsid w:val="006817C4"/>
    <w:rsid w:val="00682352"/>
    <w:rsid w:val="006844A0"/>
    <w:rsid w:val="00684A6C"/>
    <w:rsid w:val="00686BB8"/>
    <w:rsid w:val="00691BDF"/>
    <w:rsid w:val="00691E3B"/>
    <w:rsid w:val="006930C4"/>
    <w:rsid w:val="006949F9"/>
    <w:rsid w:val="006979BB"/>
    <w:rsid w:val="006A08CA"/>
    <w:rsid w:val="006A3DD5"/>
    <w:rsid w:val="006A6D8D"/>
    <w:rsid w:val="006B01F9"/>
    <w:rsid w:val="006B0FF7"/>
    <w:rsid w:val="006B1DD9"/>
    <w:rsid w:val="006B36CD"/>
    <w:rsid w:val="006B7BAD"/>
    <w:rsid w:val="006C1408"/>
    <w:rsid w:val="006C3DC9"/>
    <w:rsid w:val="006C4C3F"/>
    <w:rsid w:val="006C57A5"/>
    <w:rsid w:val="006D003E"/>
    <w:rsid w:val="006D384A"/>
    <w:rsid w:val="006D3BAE"/>
    <w:rsid w:val="006D434F"/>
    <w:rsid w:val="006D56F1"/>
    <w:rsid w:val="006D669C"/>
    <w:rsid w:val="006D6E43"/>
    <w:rsid w:val="006D75E4"/>
    <w:rsid w:val="006E2EFC"/>
    <w:rsid w:val="006E3C78"/>
    <w:rsid w:val="006E6116"/>
    <w:rsid w:val="006E631C"/>
    <w:rsid w:val="006E6B4F"/>
    <w:rsid w:val="006F0097"/>
    <w:rsid w:val="006F23B4"/>
    <w:rsid w:val="006F33AA"/>
    <w:rsid w:val="006F5AD1"/>
    <w:rsid w:val="006F7504"/>
    <w:rsid w:val="00700B06"/>
    <w:rsid w:val="007018CA"/>
    <w:rsid w:val="007037A6"/>
    <w:rsid w:val="007038D9"/>
    <w:rsid w:val="00706C7A"/>
    <w:rsid w:val="00707F39"/>
    <w:rsid w:val="00711E06"/>
    <w:rsid w:val="00714779"/>
    <w:rsid w:val="007154A3"/>
    <w:rsid w:val="00715D1B"/>
    <w:rsid w:val="00715E9B"/>
    <w:rsid w:val="0072075B"/>
    <w:rsid w:val="00720F05"/>
    <w:rsid w:val="00721F72"/>
    <w:rsid w:val="0072350B"/>
    <w:rsid w:val="00724093"/>
    <w:rsid w:val="0072517E"/>
    <w:rsid w:val="007256AD"/>
    <w:rsid w:val="0072639B"/>
    <w:rsid w:val="007267D5"/>
    <w:rsid w:val="007273DA"/>
    <w:rsid w:val="007278FC"/>
    <w:rsid w:val="00730051"/>
    <w:rsid w:val="00732E9F"/>
    <w:rsid w:val="00732FB9"/>
    <w:rsid w:val="00734594"/>
    <w:rsid w:val="0073474C"/>
    <w:rsid w:val="00736E3B"/>
    <w:rsid w:val="0073712D"/>
    <w:rsid w:val="00740650"/>
    <w:rsid w:val="00745195"/>
    <w:rsid w:val="007511CB"/>
    <w:rsid w:val="0075503A"/>
    <w:rsid w:val="00761E23"/>
    <w:rsid w:val="00764B30"/>
    <w:rsid w:val="00764EEC"/>
    <w:rsid w:val="007653DF"/>
    <w:rsid w:val="00773FB0"/>
    <w:rsid w:val="00774437"/>
    <w:rsid w:val="00780065"/>
    <w:rsid w:val="0078094D"/>
    <w:rsid w:val="00781CDD"/>
    <w:rsid w:val="00781E4F"/>
    <w:rsid w:val="00783478"/>
    <w:rsid w:val="007837C7"/>
    <w:rsid w:val="007845FA"/>
    <w:rsid w:val="00785793"/>
    <w:rsid w:val="007868E5"/>
    <w:rsid w:val="0078761E"/>
    <w:rsid w:val="00796DFA"/>
    <w:rsid w:val="007A1E94"/>
    <w:rsid w:val="007A289E"/>
    <w:rsid w:val="007A51B6"/>
    <w:rsid w:val="007B4FF3"/>
    <w:rsid w:val="007C0605"/>
    <w:rsid w:val="007C2559"/>
    <w:rsid w:val="007C3A2F"/>
    <w:rsid w:val="007C534A"/>
    <w:rsid w:val="007C72E0"/>
    <w:rsid w:val="007C7FB4"/>
    <w:rsid w:val="007D211A"/>
    <w:rsid w:val="007D2D55"/>
    <w:rsid w:val="007D3261"/>
    <w:rsid w:val="007E168D"/>
    <w:rsid w:val="007E366D"/>
    <w:rsid w:val="007E5C34"/>
    <w:rsid w:val="007F4365"/>
    <w:rsid w:val="007F51D7"/>
    <w:rsid w:val="007F7AF6"/>
    <w:rsid w:val="00801E24"/>
    <w:rsid w:val="00804593"/>
    <w:rsid w:val="00804FE4"/>
    <w:rsid w:val="0080698F"/>
    <w:rsid w:val="00811B5B"/>
    <w:rsid w:val="0082156F"/>
    <w:rsid w:val="00821E90"/>
    <w:rsid w:val="008234B6"/>
    <w:rsid w:val="0082456E"/>
    <w:rsid w:val="00825C01"/>
    <w:rsid w:val="0083009F"/>
    <w:rsid w:val="0083160C"/>
    <w:rsid w:val="00831AC5"/>
    <w:rsid w:val="00832705"/>
    <w:rsid w:val="00832F71"/>
    <w:rsid w:val="008334A7"/>
    <w:rsid w:val="00834A00"/>
    <w:rsid w:val="00837563"/>
    <w:rsid w:val="00837861"/>
    <w:rsid w:val="008416F3"/>
    <w:rsid w:val="008433EF"/>
    <w:rsid w:val="00844C30"/>
    <w:rsid w:val="00853A48"/>
    <w:rsid w:val="00854616"/>
    <w:rsid w:val="00874373"/>
    <w:rsid w:val="008744FB"/>
    <w:rsid w:val="008777D2"/>
    <w:rsid w:val="00883DCB"/>
    <w:rsid w:val="008840EA"/>
    <w:rsid w:val="008876F8"/>
    <w:rsid w:val="00892B24"/>
    <w:rsid w:val="00895F2A"/>
    <w:rsid w:val="008A2F67"/>
    <w:rsid w:val="008B244B"/>
    <w:rsid w:val="008B25F7"/>
    <w:rsid w:val="008B3499"/>
    <w:rsid w:val="008B4671"/>
    <w:rsid w:val="008C199A"/>
    <w:rsid w:val="008C5C22"/>
    <w:rsid w:val="008C6C9B"/>
    <w:rsid w:val="008C6DFD"/>
    <w:rsid w:val="008C7AA0"/>
    <w:rsid w:val="008D022D"/>
    <w:rsid w:val="008D19EC"/>
    <w:rsid w:val="008D1E98"/>
    <w:rsid w:val="008D71D2"/>
    <w:rsid w:val="008D75BF"/>
    <w:rsid w:val="008E1BE3"/>
    <w:rsid w:val="008E37EF"/>
    <w:rsid w:val="008E44EE"/>
    <w:rsid w:val="008E4E0B"/>
    <w:rsid w:val="008E68BF"/>
    <w:rsid w:val="008F0F54"/>
    <w:rsid w:val="008F256B"/>
    <w:rsid w:val="008F4C5A"/>
    <w:rsid w:val="008F50DC"/>
    <w:rsid w:val="008F5276"/>
    <w:rsid w:val="008F66DB"/>
    <w:rsid w:val="008F727C"/>
    <w:rsid w:val="008F7528"/>
    <w:rsid w:val="009020FF"/>
    <w:rsid w:val="009060A1"/>
    <w:rsid w:val="00911308"/>
    <w:rsid w:val="009157B5"/>
    <w:rsid w:val="00924198"/>
    <w:rsid w:val="0092502A"/>
    <w:rsid w:val="00925E5C"/>
    <w:rsid w:val="009304B0"/>
    <w:rsid w:val="00931CD2"/>
    <w:rsid w:val="009327EF"/>
    <w:rsid w:val="00932CC2"/>
    <w:rsid w:val="00945CC5"/>
    <w:rsid w:val="00946AF2"/>
    <w:rsid w:val="0094754F"/>
    <w:rsid w:val="00947E0F"/>
    <w:rsid w:val="00950B4A"/>
    <w:rsid w:val="00954442"/>
    <w:rsid w:val="0095561A"/>
    <w:rsid w:val="00955981"/>
    <w:rsid w:val="00961C32"/>
    <w:rsid w:val="00962189"/>
    <w:rsid w:val="00964081"/>
    <w:rsid w:val="0096464F"/>
    <w:rsid w:val="009646EE"/>
    <w:rsid w:val="00966F13"/>
    <w:rsid w:val="009740DA"/>
    <w:rsid w:val="009748F9"/>
    <w:rsid w:val="00976B7B"/>
    <w:rsid w:val="00976C99"/>
    <w:rsid w:val="00977C62"/>
    <w:rsid w:val="00980E47"/>
    <w:rsid w:val="0098388D"/>
    <w:rsid w:val="00984303"/>
    <w:rsid w:val="00985401"/>
    <w:rsid w:val="00985D6F"/>
    <w:rsid w:val="009872E6"/>
    <w:rsid w:val="0099298D"/>
    <w:rsid w:val="00993E26"/>
    <w:rsid w:val="00994548"/>
    <w:rsid w:val="0099624B"/>
    <w:rsid w:val="009964C0"/>
    <w:rsid w:val="009A0166"/>
    <w:rsid w:val="009A01A2"/>
    <w:rsid w:val="009A1BFC"/>
    <w:rsid w:val="009A3131"/>
    <w:rsid w:val="009A4999"/>
    <w:rsid w:val="009A5FD2"/>
    <w:rsid w:val="009A682A"/>
    <w:rsid w:val="009A792B"/>
    <w:rsid w:val="009A7CB7"/>
    <w:rsid w:val="009B2BD1"/>
    <w:rsid w:val="009B2DE4"/>
    <w:rsid w:val="009B6D86"/>
    <w:rsid w:val="009B702F"/>
    <w:rsid w:val="009B75A2"/>
    <w:rsid w:val="009B7C51"/>
    <w:rsid w:val="009C0B83"/>
    <w:rsid w:val="009C2E0A"/>
    <w:rsid w:val="009C4A03"/>
    <w:rsid w:val="009C4C07"/>
    <w:rsid w:val="009D04CF"/>
    <w:rsid w:val="009D0A7A"/>
    <w:rsid w:val="009D2D51"/>
    <w:rsid w:val="009D4097"/>
    <w:rsid w:val="009D6B70"/>
    <w:rsid w:val="009E1417"/>
    <w:rsid w:val="009E1A1B"/>
    <w:rsid w:val="009E4BB1"/>
    <w:rsid w:val="009E4C0B"/>
    <w:rsid w:val="009E6061"/>
    <w:rsid w:val="009F136C"/>
    <w:rsid w:val="009F2DC3"/>
    <w:rsid w:val="009F4FCE"/>
    <w:rsid w:val="00A006EB"/>
    <w:rsid w:val="00A02AE6"/>
    <w:rsid w:val="00A0665B"/>
    <w:rsid w:val="00A07CC9"/>
    <w:rsid w:val="00A129C0"/>
    <w:rsid w:val="00A16319"/>
    <w:rsid w:val="00A16BF0"/>
    <w:rsid w:val="00A27CF9"/>
    <w:rsid w:val="00A3046C"/>
    <w:rsid w:val="00A32609"/>
    <w:rsid w:val="00A36510"/>
    <w:rsid w:val="00A40FE4"/>
    <w:rsid w:val="00A41B3B"/>
    <w:rsid w:val="00A43CB7"/>
    <w:rsid w:val="00A45334"/>
    <w:rsid w:val="00A47C32"/>
    <w:rsid w:val="00A503BA"/>
    <w:rsid w:val="00A54D1F"/>
    <w:rsid w:val="00A60016"/>
    <w:rsid w:val="00A6227A"/>
    <w:rsid w:val="00A66ADD"/>
    <w:rsid w:val="00A6740A"/>
    <w:rsid w:val="00A67955"/>
    <w:rsid w:val="00A72A75"/>
    <w:rsid w:val="00A741D5"/>
    <w:rsid w:val="00A80E4C"/>
    <w:rsid w:val="00A84438"/>
    <w:rsid w:val="00A85D93"/>
    <w:rsid w:val="00A8658E"/>
    <w:rsid w:val="00A95F9F"/>
    <w:rsid w:val="00A97D70"/>
    <w:rsid w:val="00AA1833"/>
    <w:rsid w:val="00AA6378"/>
    <w:rsid w:val="00AB14FA"/>
    <w:rsid w:val="00AB7D54"/>
    <w:rsid w:val="00AC00EF"/>
    <w:rsid w:val="00AC351B"/>
    <w:rsid w:val="00AD0E12"/>
    <w:rsid w:val="00AD4C12"/>
    <w:rsid w:val="00AD5352"/>
    <w:rsid w:val="00AD5436"/>
    <w:rsid w:val="00AE0F49"/>
    <w:rsid w:val="00AE1D2F"/>
    <w:rsid w:val="00AE2500"/>
    <w:rsid w:val="00AE285E"/>
    <w:rsid w:val="00AE2CBD"/>
    <w:rsid w:val="00AE7F1E"/>
    <w:rsid w:val="00AF3029"/>
    <w:rsid w:val="00AF5055"/>
    <w:rsid w:val="00AF582F"/>
    <w:rsid w:val="00AF5F31"/>
    <w:rsid w:val="00AF707A"/>
    <w:rsid w:val="00AF7F44"/>
    <w:rsid w:val="00B003ED"/>
    <w:rsid w:val="00B00C00"/>
    <w:rsid w:val="00B04A8B"/>
    <w:rsid w:val="00B05E93"/>
    <w:rsid w:val="00B06A1C"/>
    <w:rsid w:val="00B105E4"/>
    <w:rsid w:val="00B108E7"/>
    <w:rsid w:val="00B10A59"/>
    <w:rsid w:val="00B10AEB"/>
    <w:rsid w:val="00B113FF"/>
    <w:rsid w:val="00B127DF"/>
    <w:rsid w:val="00B1520D"/>
    <w:rsid w:val="00B166B1"/>
    <w:rsid w:val="00B21D4C"/>
    <w:rsid w:val="00B24D7B"/>
    <w:rsid w:val="00B325C4"/>
    <w:rsid w:val="00B32E6D"/>
    <w:rsid w:val="00B33EF6"/>
    <w:rsid w:val="00B353EC"/>
    <w:rsid w:val="00B357CE"/>
    <w:rsid w:val="00B45A8B"/>
    <w:rsid w:val="00B4717D"/>
    <w:rsid w:val="00B523D8"/>
    <w:rsid w:val="00B52786"/>
    <w:rsid w:val="00B52CD2"/>
    <w:rsid w:val="00B56970"/>
    <w:rsid w:val="00B571F2"/>
    <w:rsid w:val="00B57F63"/>
    <w:rsid w:val="00B639B8"/>
    <w:rsid w:val="00B66ABE"/>
    <w:rsid w:val="00B73638"/>
    <w:rsid w:val="00B77DD6"/>
    <w:rsid w:val="00B808EB"/>
    <w:rsid w:val="00B90CB4"/>
    <w:rsid w:val="00B929EA"/>
    <w:rsid w:val="00B95287"/>
    <w:rsid w:val="00B95421"/>
    <w:rsid w:val="00B9783D"/>
    <w:rsid w:val="00BA0384"/>
    <w:rsid w:val="00BA1816"/>
    <w:rsid w:val="00BA5C5D"/>
    <w:rsid w:val="00BA5E8B"/>
    <w:rsid w:val="00BA7973"/>
    <w:rsid w:val="00BB1F72"/>
    <w:rsid w:val="00BB7EC4"/>
    <w:rsid w:val="00BC0D03"/>
    <w:rsid w:val="00BC179D"/>
    <w:rsid w:val="00BC4E68"/>
    <w:rsid w:val="00BC64B9"/>
    <w:rsid w:val="00BD04E6"/>
    <w:rsid w:val="00BD35D6"/>
    <w:rsid w:val="00BE1204"/>
    <w:rsid w:val="00BE377B"/>
    <w:rsid w:val="00BE4DA5"/>
    <w:rsid w:val="00BF06AF"/>
    <w:rsid w:val="00BF2484"/>
    <w:rsid w:val="00BF3271"/>
    <w:rsid w:val="00C002A8"/>
    <w:rsid w:val="00C01E5B"/>
    <w:rsid w:val="00C02328"/>
    <w:rsid w:val="00C1159D"/>
    <w:rsid w:val="00C11C93"/>
    <w:rsid w:val="00C11CDC"/>
    <w:rsid w:val="00C1317A"/>
    <w:rsid w:val="00C15045"/>
    <w:rsid w:val="00C20597"/>
    <w:rsid w:val="00C20A0F"/>
    <w:rsid w:val="00C248E8"/>
    <w:rsid w:val="00C25C2F"/>
    <w:rsid w:val="00C27216"/>
    <w:rsid w:val="00C304A3"/>
    <w:rsid w:val="00C30AAD"/>
    <w:rsid w:val="00C30C73"/>
    <w:rsid w:val="00C36B5B"/>
    <w:rsid w:val="00C455C3"/>
    <w:rsid w:val="00C459B9"/>
    <w:rsid w:val="00C47D10"/>
    <w:rsid w:val="00C5092A"/>
    <w:rsid w:val="00C56485"/>
    <w:rsid w:val="00C6202E"/>
    <w:rsid w:val="00C62828"/>
    <w:rsid w:val="00C635DA"/>
    <w:rsid w:val="00C71CD5"/>
    <w:rsid w:val="00C76BE9"/>
    <w:rsid w:val="00C8358B"/>
    <w:rsid w:val="00C8369D"/>
    <w:rsid w:val="00C83D93"/>
    <w:rsid w:val="00C85344"/>
    <w:rsid w:val="00C90C0A"/>
    <w:rsid w:val="00C91C26"/>
    <w:rsid w:val="00C92118"/>
    <w:rsid w:val="00C92377"/>
    <w:rsid w:val="00C92A1F"/>
    <w:rsid w:val="00C92CD6"/>
    <w:rsid w:val="00C9310A"/>
    <w:rsid w:val="00C9505A"/>
    <w:rsid w:val="00C95AFE"/>
    <w:rsid w:val="00C95CAC"/>
    <w:rsid w:val="00CA19D5"/>
    <w:rsid w:val="00CA3BCB"/>
    <w:rsid w:val="00CA3ED1"/>
    <w:rsid w:val="00CA4E0C"/>
    <w:rsid w:val="00CA4E60"/>
    <w:rsid w:val="00CA747B"/>
    <w:rsid w:val="00CA75FC"/>
    <w:rsid w:val="00CA7DDB"/>
    <w:rsid w:val="00CB079C"/>
    <w:rsid w:val="00CB0847"/>
    <w:rsid w:val="00CB100C"/>
    <w:rsid w:val="00CB64BF"/>
    <w:rsid w:val="00CB7659"/>
    <w:rsid w:val="00CC3F27"/>
    <w:rsid w:val="00CC64D9"/>
    <w:rsid w:val="00CC69A2"/>
    <w:rsid w:val="00CD2E57"/>
    <w:rsid w:val="00CD553B"/>
    <w:rsid w:val="00CD5D2C"/>
    <w:rsid w:val="00CE19DA"/>
    <w:rsid w:val="00CE1FE2"/>
    <w:rsid w:val="00CE3308"/>
    <w:rsid w:val="00CE34F7"/>
    <w:rsid w:val="00CE4C1D"/>
    <w:rsid w:val="00CE60B6"/>
    <w:rsid w:val="00CF0A61"/>
    <w:rsid w:val="00CF4B88"/>
    <w:rsid w:val="00D00E5E"/>
    <w:rsid w:val="00D0101E"/>
    <w:rsid w:val="00D02A69"/>
    <w:rsid w:val="00D02ECD"/>
    <w:rsid w:val="00D05223"/>
    <w:rsid w:val="00D07526"/>
    <w:rsid w:val="00D1048C"/>
    <w:rsid w:val="00D14D28"/>
    <w:rsid w:val="00D15E07"/>
    <w:rsid w:val="00D21B0B"/>
    <w:rsid w:val="00D22EA5"/>
    <w:rsid w:val="00D233DE"/>
    <w:rsid w:val="00D237BE"/>
    <w:rsid w:val="00D24FF0"/>
    <w:rsid w:val="00D27514"/>
    <w:rsid w:val="00D33013"/>
    <w:rsid w:val="00D3449F"/>
    <w:rsid w:val="00D34838"/>
    <w:rsid w:val="00D3483A"/>
    <w:rsid w:val="00D42212"/>
    <w:rsid w:val="00D43FDE"/>
    <w:rsid w:val="00D45AC4"/>
    <w:rsid w:val="00D4662E"/>
    <w:rsid w:val="00D469C6"/>
    <w:rsid w:val="00D4781E"/>
    <w:rsid w:val="00D54BCC"/>
    <w:rsid w:val="00D564FB"/>
    <w:rsid w:val="00D570FD"/>
    <w:rsid w:val="00D610CA"/>
    <w:rsid w:val="00D61489"/>
    <w:rsid w:val="00D622F8"/>
    <w:rsid w:val="00D626E4"/>
    <w:rsid w:val="00D62A13"/>
    <w:rsid w:val="00D6375B"/>
    <w:rsid w:val="00D708F2"/>
    <w:rsid w:val="00D71320"/>
    <w:rsid w:val="00D7243B"/>
    <w:rsid w:val="00D72DA3"/>
    <w:rsid w:val="00D73D30"/>
    <w:rsid w:val="00D759A9"/>
    <w:rsid w:val="00D75A1C"/>
    <w:rsid w:val="00D76E15"/>
    <w:rsid w:val="00D76F33"/>
    <w:rsid w:val="00D76F73"/>
    <w:rsid w:val="00D822BC"/>
    <w:rsid w:val="00D830B9"/>
    <w:rsid w:val="00D87290"/>
    <w:rsid w:val="00D91D90"/>
    <w:rsid w:val="00D92EB3"/>
    <w:rsid w:val="00D9316D"/>
    <w:rsid w:val="00D9316F"/>
    <w:rsid w:val="00D96B2E"/>
    <w:rsid w:val="00DA378D"/>
    <w:rsid w:val="00DA40FA"/>
    <w:rsid w:val="00DB0333"/>
    <w:rsid w:val="00DB3879"/>
    <w:rsid w:val="00DB534B"/>
    <w:rsid w:val="00DB64D9"/>
    <w:rsid w:val="00DB75B3"/>
    <w:rsid w:val="00DC1462"/>
    <w:rsid w:val="00DC3627"/>
    <w:rsid w:val="00DC4C2C"/>
    <w:rsid w:val="00DC5B01"/>
    <w:rsid w:val="00DD0161"/>
    <w:rsid w:val="00DE134A"/>
    <w:rsid w:val="00DE13E1"/>
    <w:rsid w:val="00DE1C81"/>
    <w:rsid w:val="00DE1CC3"/>
    <w:rsid w:val="00DE21C1"/>
    <w:rsid w:val="00DE398A"/>
    <w:rsid w:val="00DE726D"/>
    <w:rsid w:val="00DE73BE"/>
    <w:rsid w:val="00DF04EB"/>
    <w:rsid w:val="00DF0509"/>
    <w:rsid w:val="00DF0BDC"/>
    <w:rsid w:val="00DF0D74"/>
    <w:rsid w:val="00DF11D3"/>
    <w:rsid w:val="00DF456A"/>
    <w:rsid w:val="00DF49B6"/>
    <w:rsid w:val="00DF56EB"/>
    <w:rsid w:val="00E023CE"/>
    <w:rsid w:val="00E061F1"/>
    <w:rsid w:val="00E1233A"/>
    <w:rsid w:val="00E164BB"/>
    <w:rsid w:val="00E209C0"/>
    <w:rsid w:val="00E21B47"/>
    <w:rsid w:val="00E21EAD"/>
    <w:rsid w:val="00E22263"/>
    <w:rsid w:val="00E24071"/>
    <w:rsid w:val="00E33102"/>
    <w:rsid w:val="00E3452B"/>
    <w:rsid w:val="00E348E4"/>
    <w:rsid w:val="00E400D7"/>
    <w:rsid w:val="00E40513"/>
    <w:rsid w:val="00E4129C"/>
    <w:rsid w:val="00E42F0E"/>
    <w:rsid w:val="00E43E28"/>
    <w:rsid w:val="00E445BB"/>
    <w:rsid w:val="00E51426"/>
    <w:rsid w:val="00E520CC"/>
    <w:rsid w:val="00E5254F"/>
    <w:rsid w:val="00E53982"/>
    <w:rsid w:val="00E55415"/>
    <w:rsid w:val="00E56604"/>
    <w:rsid w:val="00E704CC"/>
    <w:rsid w:val="00E72B05"/>
    <w:rsid w:val="00E74076"/>
    <w:rsid w:val="00E74305"/>
    <w:rsid w:val="00E751C7"/>
    <w:rsid w:val="00E813EB"/>
    <w:rsid w:val="00E84CF3"/>
    <w:rsid w:val="00E8674C"/>
    <w:rsid w:val="00E86F9D"/>
    <w:rsid w:val="00E912E4"/>
    <w:rsid w:val="00E9138F"/>
    <w:rsid w:val="00E91546"/>
    <w:rsid w:val="00E937F8"/>
    <w:rsid w:val="00E96FB9"/>
    <w:rsid w:val="00EA167B"/>
    <w:rsid w:val="00EA2DCA"/>
    <w:rsid w:val="00EA3776"/>
    <w:rsid w:val="00EA3B31"/>
    <w:rsid w:val="00EA546D"/>
    <w:rsid w:val="00EB1C02"/>
    <w:rsid w:val="00EB205E"/>
    <w:rsid w:val="00EB3884"/>
    <w:rsid w:val="00EB39E3"/>
    <w:rsid w:val="00EB3AB2"/>
    <w:rsid w:val="00EB677C"/>
    <w:rsid w:val="00EB74EE"/>
    <w:rsid w:val="00EB75C3"/>
    <w:rsid w:val="00EC0C29"/>
    <w:rsid w:val="00EC30E3"/>
    <w:rsid w:val="00EC4FCE"/>
    <w:rsid w:val="00ED04DC"/>
    <w:rsid w:val="00ED04F4"/>
    <w:rsid w:val="00ED1189"/>
    <w:rsid w:val="00ED1734"/>
    <w:rsid w:val="00ED1BDA"/>
    <w:rsid w:val="00ED46A5"/>
    <w:rsid w:val="00EE14ED"/>
    <w:rsid w:val="00EF1379"/>
    <w:rsid w:val="00EF717C"/>
    <w:rsid w:val="00F0667F"/>
    <w:rsid w:val="00F1471D"/>
    <w:rsid w:val="00F16E3F"/>
    <w:rsid w:val="00F17570"/>
    <w:rsid w:val="00F222B0"/>
    <w:rsid w:val="00F30180"/>
    <w:rsid w:val="00F31C11"/>
    <w:rsid w:val="00F3283E"/>
    <w:rsid w:val="00F35640"/>
    <w:rsid w:val="00F36AD2"/>
    <w:rsid w:val="00F37AAF"/>
    <w:rsid w:val="00F4147F"/>
    <w:rsid w:val="00F464EC"/>
    <w:rsid w:val="00F46562"/>
    <w:rsid w:val="00F52141"/>
    <w:rsid w:val="00F57CEF"/>
    <w:rsid w:val="00F60962"/>
    <w:rsid w:val="00F610D3"/>
    <w:rsid w:val="00F622A6"/>
    <w:rsid w:val="00F76DD1"/>
    <w:rsid w:val="00F77709"/>
    <w:rsid w:val="00F803E1"/>
    <w:rsid w:val="00F804F5"/>
    <w:rsid w:val="00F8442F"/>
    <w:rsid w:val="00F90EC6"/>
    <w:rsid w:val="00F934A6"/>
    <w:rsid w:val="00F9444C"/>
    <w:rsid w:val="00FA2B4B"/>
    <w:rsid w:val="00FA6271"/>
    <w:rsid w:val="00FA7823"/>
    <w:rsid w:val="00FB1764"/>
    <w:rsid w:val="00FB3816"/>
    <w:rsid w:val="00FB4964"/>
    <w:rsid w:val="00FB654D"/>
    <w:rsid w:val="00FC1959"/>
    <w:rsid w:val="00FC32D9"/>
    <w:rsid w:val="00FC61BA"/>
    <w:rsid w:val="00FD10E6"/>
    <w:rsid w:val="00FE5A10"/>
    <w:rsid w:val="00FE6F94"/>
    <w:rsid w:val="00FE709C"/>
    <w:rsid w:val="00FE743C"/>
    <w:rsid w:val="00FF247C"/>
    <w:rsid w:val="00FF3CCF"/>
    <w:rsid w:val="00FF5829"/>
    <w:rsid w:val="014E20F3"/>
    <w:rsid w:val="01B12E58"/>
    <w:rsid w:val="02C8111D"/>
    <w:rsid w:val="02FA082F"/>
    <w:rsid w:val="032F4882"/>
    <w:rsid w:val="03394EB3"/>
    <w:rsid w:val="039B5B6E"/>
    <w:rsid w:val="039C5442"/>
    <w:rsid w:val="03C86237"/>
    <w:rsid w:val="03E2554B"/>
    <w:rsid w:val="03F139E0"/>
    <w:rsid w:val="04115E30"/>
    <w:rsid w:val="04245B63"/>
    <w:rsid w:val="047C599F"/>
    <w:rsid w:val="0491294B"/>
    <w:rsid w:val="04BC223F"/>
    <w:rsid w:val="04C837DE"/>
    <w:rsid w:val="052A1BD0"/>
    <w:rsid w:val="05B017D6"/>
    <w:rsid w:val="05F872A7"/>
    <w:rsid w:val="060E0879"/>
    <w:rsid w:val="06144F07"/>
    <w:rsid w:val="063B53E6"/>
    <w:rsid w:val="068428E9"/>
    <w:rsid w:val="06B5558D"/>
    <w:rsid w:val="06C072BD"/>
    <w:rsid w:val="07124399"/>
    <w:rsid w:val="077F5E75"/>
    <w:rsid w:val="078D07ED"/>
    <w:rsid w:val="08212217"/>
    <w:rsid w:val="08B82D1E"/>
    <w:rsid w:val="09120680"/>
    <w:rsid w:val="093C394F"/>
    <w:rsid w:val="098470A4"/>
    <w:rsid w:val="09B51CBC"/>
    <w:rsid w:val="09BA2AC6"/>
    <w:rsid w:val="0AE935F3"/>
    <w:rsid w:val="0AF86F5E"/>
    <w:rsid w:val="0B3C7C36"/>
    <w:rsid w:val="0B43617A"/>
    <w:rsid w:val="0BF57DE5"/>
    <w:rsid w:val="0C525237"/>
    <w:rsid w:val="0C5F7948"/>
    <w:rsid w:val="0C743400"/>
    <w:rsid w:val="0C8C24F7"/>
    <w:rsid w:val="0D127E5A"/>
    <w:rsid w:val="0D927FE1"/>
    <w:rsid w:val="0D9C0EFA"/>
    <w:rsid w:val="0DC43F13"/>
    <w:rsid w:val="0DDA54E4"/>
    <w:rsid w:val="0DE24FA6"/>
    <w:rsid w:val="0E35096D"/>
    <w:rsid w:val="0E910299"/>
    <w:rsid w:val="0E9C09EC"/>
    <w:rsid w:val="0EB75826"/>
    <w:rsid w:val="0EF54114"/>
    <w:rsid w:val="0F03241B"/>
    <w:rsid w:val="0F625791"/>
    <w:rsid w:val="0F9C5147"/>
    <w:rsid w:val="0FA019E7"/>
    <w:rsid w:val="100504DF"/>
    <w:rsid w:val="1021389E"/>
    <w:rsid w:val="102A7020"/>
    <w:rsid w:val="104357E9"/>
    <w:rsid w:val="10583471"/>
    <w:rsid w:val="105A46BB"/>
    <w:rsid w:val="108F6A5A"/>
    <w:rsid w:val="10D73F5D"/>
    <w:rsid w:val="10E70644"/>
    <w:rsid w:val="115317F3"/>
    <w:rsid w:val="117B0D8C"/>
    <w:rsid w:val="11951E4E"/>
    <w:rsid w:val="11A025A1"/>
    <w:rsid w:val="11A27059"/>
    <w:rsid w:val="11EB7CC0"/>
    <w:rsid w:val="12C4776A"/>
    <w:rsid w:val="12CC7AF2"/>
    <w:rsid w:val="131B2827"/>
    <w:rsid w:val="131E0BDE"/>
    <w:rsid w:val="1346590F"/>
    <w:rsid w:val="135875D7"/>
    <w:rsid w:val="137B1518"/>
    <w:rsid w:val="137E3824"/>
    <w:rsid w:val="139E2E9A"/>
    <w:rsid w:val="13E36DF3"/>
    <w:rsid w:val="14215C1B"/>
    <w:rsid w:val="1460639C"/>
    <w:rsid w:val="146E6986"/>
    <w:rsid w:val="14761015"/>
    <w:rsid w:val="151E03AD"/>
    <w:rsid w:val="15327ECB"/>
    <w:rsid w:val="154E5444"/>
    <w:rsid w:val="154F67B8"/>
    <w:rsid w:val="164756E1"/>
    <w:rsid w:val="166938A9"/>
    <w:rsid w:val="168C1346"/>
    <w:rsid w:val="16A9014A"/>
    <w:rsid w:val="175E3A04"/>
    <w:rsid w:val="175F45F2"/>
    <w:rsid w:val="17CB1483"/>
    <w:rsid w:val="17CE0E41"/>
    <w:rsid w:val="17D72FC2"/>
    <w:rsid w:val="17FA1432"/>
    <w:rsid w:val="182A0E16"/>
    <w:rsid w:val="183879D7"/>
    <w:rsid w:val="18493900"/>
    <w:rsid w:val="18786643"/>
    <w:rsid w:val="18822A00"/>
    <w:rsid w:val="18DD280D"/>
    <w:rsid w:val="190A1635"/>
    <w:rsid w:val="19157D18"/>
    <w:rsid w:val="19704DB0"/>
    <w:rsid w:val="199B0ED5"/>
    <w:rsid w:val="19EA4D01"/>
    <w:rsid w:val="1A295829"/>
    <w:rsid w:val="1A760F0A"/>
    <w:rsid w:val="1ABD2416"/>
    <w:rsid w:val="1B0342CC"/>
    <w:rsid w:val="1B481CDF"/>
    <w:rsid w:val="1B5B65FA"/>
    <w:rsid w:val="1B701236"/>
    <w:rsid w:val="1B770C1C"/>
    <w:rsid w:val="1B7D4F0F"/>
    <w:rsid w:val="1B9A2198"/>
    <w:rsid w:val="1BD47A17"/>
    <w:rsid w:val="1BF956CF"/>
    <w:rsid w:val="1C281B11"/>
    <w:rsid w:val="1C2838BF"/>
    <w:rsid w:val="1C4A7CD9"/>
    <w:rsid w:val="1D951428"/>
    <w:rsid w:val="1D9E02DC"/>
    <w:rsid w:val="1DDC0E05"/>
    <w:rsid w:val="1E01086B"/>
    <w:rsid w:val="1E036392"/>
    <w:rsid w:val="1E2D5A5C"/>
    <w:rsid w:val="1E390005"/>
    <w:rsid w:val="1E4A12EB"/>
    <w:rsid w:val="1E4A6A10"/>
    <w:rsid w:val="1E8F2A80"/>
    <w:rsid w:val="1E966C18"/>
    <w:rsid w:val="1ED16490"/>
    <w:rsid w:val="1ED200A9"/>
    <w:rsid w:val="1EE53CE9"/>
    <w:rsid w:val="1EE94241"/>
    <w:rsid w:val="1EEF3F1B"/>
    <w:rsid w:val="1F1F544D"/>
    <w:rsid w:val="1F43738D"/>
    <w:rsid w:val="1F460C2C"/>
    <w:rsid w:val="1F8D5DA7"/>
    <w:rsid w:val="1F9E2816"/>
    <w:rsid w:val="1F9F0EC8"/>
    <w:rsid w:val="1FA118A7"/>
    <w:rsid w:val="1FB75686"/>
    <w:rsid w:val="1FE21B57"/>
    <w:rsid w:val="202330B3"/>
    <w:rsid w:val="207A7D02"/>
    <w:rsid w:val="20CE712B"/>
    <w:rsid w:val="20E72A70"/>
    <w:rsid w:val="20EB1007"/>
    <w:rsid w:val="210F707A"/>
    <w:rsid w:val="215869F4"/>
    <w:rsid w:val="21667363"/>
    <w:rsid w:val="21917789"/>
    <w:rsid w:val="21921F06"/>
    <w:rsid w:val="21B225A8"/>
    <w:rsid w:val="21F9212D"/>
    <w:rsid w:val="220821C8"/>
    <w:rsid w:val="2217065D"/>
    <w:rsid w:val="22250345"/>
    <w:rsid w:val="223B07F0"/>
    <w:rsid w:val="226118D9"/>
    <w:rsid w:val="228026A7"/>
    <w:rsid w:val="22BB37B7"/>
    <w:rsid w:val="22D16A5E"/>
    <w:rsid w:val="23045086"/>
    <w:rsid w:val="23597536"/>
    <w:rsid w:val="23D34A58"/>
    <w:rsid w:val="23DC4AE4"/>
    <w:rsid w:val="241E2177"/>
    <w:rsid w:val="2431606C"/>
    <w:rsid w:val="244069CA"/>
    <w:rsid w:val="25290DD3"/>
    <w:rsid w:val="2584547B"/>
    <w:rsid w:val="25B52667"/>
    <w:rsid w:val="26541E80"/>
    <w:rsid w:val="26AD77E2"/>
    <w:rsid w:val="274C6FFB"/>
    <w:rsid w:val="27E7184E"/>
    <w:rsid w:val="28703F54"/>
    <w:rsid w:val="287E31E4"/>
    <w:rsid w:val="289F315B"/>
    <w:rsid w:val="28F6721F"/>
    <w:rsid w:val="28FE6835"/>
    <w:rsid w:val="291861CB"/>
    <w:rsid w:val="2933596C"/>
    <w:rsid w:val="297C25E9"/>
    <w:rsid w:val="29BC3C3C"/>
    <w:rsid w:val="29E80B04"/>
    <w:rsid w:val="29E9334F"/>
    <w:rsid w:val="2A1548BA"/>
    <w:rsid w:val="2A1D4C7F"/>
    <w:rsid w:val="2A4864C7"/>
    <w:rsid w:val="2AC84BEB"/>
    <w:rsid w:val="2AE9690F"/>
    <w:rsid w:val="2B0A5203"/>
    <w:rsid w:val="2BA3023C"/>
    <w:rsid w:val="2BB84C5F"/>
    <w:rsid w:val="2BC5737C"/>
    <w:rsid w:val="2BD650E5"/>
    <w:rsid w:val="2BF65788"/>
    <w:rsid w:val="2BFF2BD4"/>
    <w:rsid w:val="2C966602"/>
    <w:rsid w:val="2CA927FA"/>
    <w:rsid w:val="2CD35299"/>
    <w:rsid w:val="2CF35901"/>
    <w:rsid w:val="2D157E8F"/>
    <w:rsid w:val="2D26209C"/>
    <w:rsid w:val="2D546C0A"/>
    <w:rsid w:val="2D962D7E"/>
    <w:rsid w:val="2DDC6BB4"/>
    <w:rsid w:val="2E310CF9"/>
    <w:rsid w:val="2EA15E7F"/>
    <w:rsid w:val="2EC70009"/>
    <w:rsid w:val="2EF91817"/>
    <w:rsid w:val="2F34639D"/>
    <w:rsid w:val="2F645B37"/>
    <w:rsid w:val="2FCC0CD9"/>
    <w:rsid w:val="2FDF6689"/>
    <w:rsid w:val="30782C0F"/>
    <w:rsid w:val="30A457B2"/>
    <w:rsid w:val="30CA30C1"/>
    <w:rsid w:val="30EE1718"/>
    <w:rsid w:val="30FC55EE"/>
    <w:rsid w:val="313C61FC"/>
    <w:rsid w:val="31623972"/>
    <w:rsid w:val="31B05615"/>
    <w:rsid w:val="31C51E84"/>
    <w:rsid w:val="32140715"/>
    <w:rsid w:val="3216448E"/>
    <w:rsid w:val="321E77E6"/>
    <w:rsid w:val="32310656"/>
    <w:rsid w:val="3242289C"/>
    <w:rsid w:val="328C72C2"/>
    <w:rsid w:val="32CB34CA"/>
    <w:rsid w:val="330D3AE3"/>
    <w:rsid w:val="331C3D26"/>
    <w:rsid w:val="33784CD4"/>
    <w:rsid w:val="339064C2"/>
    <w:rsid w:val="33DB773D"/>
    <w:rsid w:val="33DC34B5"/>
    <w:rsid w:val="33E10ACB"/>
    <w:rsid w:val="346D124D"/>
    <w:rsid w:val="347F552F"/>
    <w:rsid w:val="349A3760"/>
    <w:rsid w:val="34C12DD7"/>
    <w:rsid w:val="34C42121"/>
    <w:rsid w:val="34F07218"/>
    <w:rsid w:val="34F87313"/>
    <w:rsid w:val="3568727D"/>
    <w:rsid w:val="358838F4"/>
    <w:rsid w:val="364F2236"/>
    <w:rsid w:val="36EF52AD"/>
    <w:rsid w:val="373E0D5C"/>
    <w:rsid w:val="378105FB"/>
    <w:rsid w:val="37924C79"/>
    <w:rsid w:val="37EE37B7"/>
    <w:rsid w:val="382D2531"/>
    <w:rsid w:val="38A00F55"/>
    <w:rsid w:val="38AF73EA"/>
    <w:rsid w:val="38F8669B"/>
    <w:rsid w:val="39145082"/>
    <w:rsid w:val="392D49F7"/>
    <w:rsid w:val="393D4CFB"/>
    <w:rsid w:val="394A0EC1"/>
    <w:rsid w:val="399565E0"/>
    <w:rsid w:val="39A14F85"/>
    <w:rsid w:val="39BF031F"/>
    <w:rsid w:val="3A080B60"/>
    <w:rsid w:val="3A2636DC"/>
    <w:rsid w:val="3A2B2111"/>
    <w:rsid w:val="3A712BA9"/>
    <w:rsid w:val="3A7D77A0"/>
    <w:rsid w:val="3AA50AA5"/>
    <w:rsid w:val="3AED7D56"/>
    <w:rsid w:val="3AFD4A0A"/>
    <w:rsid w:val="3B0A0908"/>
    <w:rsid w:val="3B17185E"/>
    <w:rsid w:val="3B2E7C35"/>
    <w:rsid w:val="3B44206B"/>
    <w:rsid w:val="3BBA232E"/>
    <w:rsid w:val="3BCE5DD9"/>
    <w:rsid w:val="3BF41528"/>
    <w:rsid w:val="3C0B2B89"/>
    <w:rsid w:val="3C1C7CAC"/>
    <w:rsid w:val="3C2E55CC"/>
    <w:rsid w:val="3D12074F"/>
    <w:rsid w:val="3D29776B"/>
    <w:rsid w:val="3DCB6DA7"/>
    <w:rsid w:val="3E391C30"/>
    <w:rsid w:val="3EBC016B"/>
    <w:rsid w:val="3ECF60F0"/>
    <w:rsid w:val="3F397A0D"/>
    <w:rsid w:val="3F4C7741"/>
    <w:rsid w:val="3F9E1855"/>
    <w:rsid w:val="3FBD23EC"/>
    <w:rsid w:val="3FBF43B6"/>
    <w:rsid w:val="3FF91963"/>
    <w:rsid w:val="3FFB3C4E"/>
    <w:rsid w:val="3FFF45F6"/>
    <w:rsid w:val="40E90629"/>
    <w:rsid w:val="41377F7D"/>
    <w:rsid w:val="4157061F"/>
    <w:rsid w:val="416845DA"/>
    <w:rsid w:val="41A01FC6"/>
    <w:rsid w:val="41FE22BF"/>
    <w:rsid w:val="41FF6CDC"/>
    <w:rsid w:val="429D6505"/>
    <w:rsid w:val="43356A97"/>
    <w:rsid w:val="4348021F"/>
    <w:rsid w:val="437B05F4"/>
    <w:rsid w:val="43812344"/>
    <w:rsid w:val="44365E73"/>
    <w:rsid w:val="44623562"/>
    <w:rsid w:val="448C6831"/>
    <w:rsid w:val="4550160D"/>
    <w:rsid w:val="457F1EF2"/>
    <w:rsid w:val="45AF0A29"/>
    <w:rsid w:val="45BF5CA6"/>
    <w:rsid w:val="45C67ACF"/>
    <w:rsid w:val="45D75FB2"/>
    <w:rsid w:val="467531B7"/>
    <w:rsid w:val="469814BD"/>
    <w:rsid w:val="46CE6F53"/>
    <w:rsid w:val="47022DDB"/>
    <w:rsid w:val="473E2065"/>
    <w:rsid w:val="47507FEA"/>
    <w:rsid w:val="47B17CFE"/>
    <w:rsid w:val="48082E8D"/>
    <w:rsid w:val="4816734E"/>
    <w:rsid w:val="48835F66"/>
    <w:rsid w:val="48AC1250"/>
    <w:rsid w:val="48B545A9"/>
    <w:rsid w:val="48C447EC"/>
    <w:rsid w:val="48D82045"/>
    <w:rsid w:val="48D9691E"/>
    <w:rsid w:val="48F875C8"/>
    <w:rsid w:val="49170DBF"/>
    <w:rsid w:val="49211C3E"/>
    <w:rsid w:val="4A0B3E83"/>
    <w:rsid w:val="4A5D0A54"/>
    <w:rsid w:val="4ADB1D3F"/>
    <w:rsid w:val="4B63653E"/>
    <w:rsid w:val="4BB073CF"/>
    <w:rsid w:val="4C213090"/>
    <w:rsid w:val="4C8E75EA"/>
    <w:rsid w:val="4CAA1F4A"/>
    <w:rsid w:val="4D241CFD"/>
    <w:rsid w:val="4D2A496C"/>
    <w:rsid w:val="4D333CEE"/>
    <w:rsid w:val="4D5A571F"/>
    <w:rsid w:val="4D7317CB"/>
    <w:rsid w:val="4D901140"/>
    <w:rsid w:val="4DEF230B"/>
    <w:rsid w:val="4E555EE6"/>
    <w:rsid w:val="4E7445BE"/>
    <w:rsid w:val="4E850579"/>
    <w:rsid w:val="4EAA4484"/>
    <w:rsid w:val="4EAB488F"/>
    <w:rsid w:val="4ECC61A8"/>
    <w:rsid w:val="4EDB463D"/>
    <w:rsid w:val="4F133DD7"/>
    <w:rsid w:val="4F4E2F92"/>
    <w:rsid w:val="4F583EE0"/>
    <w:rsid w:val="4F652159"/>
    <w:rsid w:val="4FC275AB"/>
    <w:rsid w:val="506A32DC"/>
    <w:rsid w:val="509861AC"/>
    <w:rsid w:val="509B4EE0"/>
    <w:rsid w:val="50FE0AB7"/>
    <w:rsid w:val="510908C5"/>
    <w:rsid w:val="51226553"/>
    <w:rsid w:val="51275918"/>
    <w:rsid w:val="51427A2B"/>
    <w:rsid w:val="51583D23"/>
    <w:rsid w:val="5167040A"/>
    <w:rsid w:val="518C60C3"/>
    <w:rsid w:val="51C92E73"/>
    <w:rsid w:val="51CD2963"/>
    <w:rsid w:val="526B217C"/>
    <w:rsid w:val="528F7C18"/>
    <w:rsid w:val="5297126B"/>
    <w:rsid w:val="529945F3"/>
    <w:rsid w:val="52C06024"/>
    <w:rsid w:val="52DC0984"/>
    <w:rsid w:val="52E112D0"/>
    <w:rsid w:val="5303580E"/>
    <w:rsid w:val="530C1269"/>
    <w:rsid w:val="53BC2C8F"/>
    <w:rsid w:val="53BF0089"/>
    <w:rsid w:val="53CB1124"/>
    <w:rsid w:val="53D14261"/>
    <w:rsid w:val="53F73CC7"/>
    <w:rsid w:val="540D34EB"/>
    <w:rsid w:val="54326116"/>
    <w:rsid w:val="54AD25D8"/>
    <w:rsid w:val="54DE4E87"/>
    <w:rsid w:val="55770A92"/>
    <w:rsid w:val="559D766D"/>
    <w:rsid w:val="5647080A"/>
    <w:rsid w:val="56494582"/>
    <w:rsid w:val="57875362"/>
    <w:rsid w:val="58030846"/>
    <w:rsid w:val="582C5F09"/>
    <w:rsid w:val="58D345D7"/>
    <w:rsid w:val="596671F9"/>
    <w:rsid w:val="59F27AC0"/>
    <w:rsid w:val="5A0D3EF4"/>
    <w:rsid w:val="5A20384C"/>
    <w:rsid w:val="5A274BDA"/>
    <w:rsid w:val="5A3F1F24"/>
    <w:rsid w:val="5AA75D1B"/>
    <w:rsid w:val="5ABA5A4E"/>
    <w:rsid w:val="5AF727FF"/>
    <w:rsid w:val="5B070568"/>
    <w:rsid w:val="5B2B24A8"/>
    <w:rsid w:val="5B2F5FAE"/>
    <w:rsid w:val="5B4D0671"/>
    <w:rsid w:val="5BB57FC4"/>
    <w:rsid w:val="5BCF366A"/>
    <w:rsid w:val="5BD42B40"/>
    <w:rsid w:val="5BFE7910"/>
    <w:rsid w:val="5C3F42BE"/>
    <w:rsid w:val="5C9F6CAA"/>
    <w:rsid w:val="5CD252D1"/>
    <w:rsid w:val="5D3E2F50"/>
    <w:rsid w:val="5E0314BA"/>
    <w:rsid w:val="5E14191A"/>
    <w:rsid w:val="5E1B4A56"/>
    <w:rsid w:val="5E766130"/>
    <w:rsid w:val="5E8720EC"/>
    <w:rsid w:val="5EC64F7C"/>
    <w:rsid w:val="5F204709"/>
    <w:rsid w:val="5F4D67A9"/>
    <w:rsid w:val="5F592326"/>
    <w:rsid w:val="5F7E529D"/>
    <w:rsid w:val="5F8371C4"/>
    <w:rsid w:val="5FED2422"/>
    <w:rsid w:val="603040BD"/>
    <w:rsid w:val="6031230F"/>
    <w:rsid w:val="60787F3E"/>
    <w:rsid w:val="609E371C"/>
    <w:rsid w:val="60AF1486"/>
    <w:rsid w:val="60BB7E2A"/>
    <w:rsid w:val="60FD6695"/>
    <w:rsid w:val="61475B62"/>
    <w:rsid w:val="61656B01"/>
    <w:rsid w:val="619D39D4"/>
    <w:rsid w:val="61F335F4"/>
    <w:rsid w:val="62285994"/>
    <w:rsid w:val="62BF3ACA"/>
    <w:rsid w:val="62E17D92"/>
    <w:rsid w:val="63610A00"/>
    <w:rsid w:val="638210D3"/>
    <w:rsid w:val="638F4315"/>
    <w:rsid w:val="639B1317"/>
    <w:rsid w:val="63E31B72"/>
    <w:rsid w:val="64393E88"/>
    <w:rsid w:val="644017A3"/>
    <w:rsid w:val="64715DE8"/>
    <w:rsid w:val="64AF5EF8"/>
    <w:rsid w:val="64BF68B6"/>
    <w:rsid w:val="65000502"/>
    <w:rsid w:val="65482677"/>
    <w:rsid w:val="655F0748"/>
    <w:rsid w:val="65D33A39"/>
    <w:rsid w:val="66011470"/>
    <w:rsid w:val="663A3EE7"/>
    <w:rsid w:val="66415276"/>
    <w:rsid w:val="667C005C"/>
    <w:rsid w:val="66A001EE"/>
    <w:rsid w:val="66CD4923"/>
    <w:rsid w:val="6712276E"/>
    <w:rsid w:val="6715319B"/>
    <w:rsid w:val="675E59B4"/>
    <w:rsid w:val="67B81568"/>
    <w:rsid w:val="67C95523"/>
    <w:rsid w:val="67CD17C4"/>
    <w:rsid w:val="68F55EA4"/>
    <w:rsid w:val="693B41FE"/>
    <w:rsid w:val="69563423"/>
    <w:rsid w:val="69603C65"/>
    <w:rsid w:val="69B66977"/>
    <w:rsid w:val="69FC4F7C"/>
    <w:rsid w:val="6A197BB4"/>
    <w:rsid w:val="6A2127D0"/>
    <w:rsid w:val="6B2953D4"/>
    <w:rsid w:val="6BA23A98"/>
    <w:rsid w:val="6BDD334B"/>
    <w:rsid w:val="6C04288C"/>
    <w:rsid w:val="6C0A7775"/>
    <w:rsid w:val="6C4A2A76"/>
    <w:rsid w:val="6C5B3CBB"/>
    <w:rsid w:val="6C6C351B"/>
    <w:rsid w:val="6CB342AF"/>
    <w:rsid w:val="6CB56076"/>
    <w:rsid w:val="6D140820"/>
    <w:rsid w:val="6D77157D"/>
    <w:rsid w:val="6E0D0AA1"/>
    <w:rsid w:val="6E445903"/>
    <w:rsid w:val="6E4C00B7"/>
    <w:rsid w:val="6E564019"/>
    <w:rsid w:val="6E753D0F"/>
    <w:rsid w:val="6E7855AD"/>
    <w:rsid w:val="6F740A8D"/>
    <w:rsid w:val="6F847642"/>
    <w:rsid w:val="6F857F81"/>
    <w:rsid w:val="70017A54"/>
    <w:rsid w:val="702205AA"/>
    <w:rsid w:val="71153587"/>
    <w:rsid w:val="71251FE1"/>
    <w:rsid w:val="7135696F"/>
    <w:rsid w:val="71431EA2"/>
    <w:rsid w:val="714A1482"/>
    <w:rsid w:val="715045BF"/>
    <w:rsid w:val="71881FAB"/>
    <w:rsid w:val="71CB1E97"/>
    <w:rsid w:val="71E83FA3"/>
    <w:rsid w:val="7238577F"/>
    <w:rsid w:val="72A44F0C"/>
    <w:rsid w:val="72C963D7"/>
    <w:rsid w:val="72E709E0"/>
    <w:rsid w:val="730D09BA"/>
    <w:rsid w:val="73373C88"/>
    <w:rsid w:val="73492CDA"/>
    <w:rsid w:val="735D0BC8"/>
    <w:rsid w:val="73A56E44"/>
    <w:rsid w:val="73B84AAB"/>
    <w:rsid w:val="73F1645D"/>
    <w:rsid w:val="740D49E9"/>
    <w:rsid w:val="74390527"/>
    <w:rsid w:val="74632A51"/>
    <w:rsid w:val="74A7099A"/>
    <w:rsid w:val="754E52B9"/>
    <w:rsid w:val="757765BE"/>
    <w:rsid w:val="75790588"/>
    <w:rsid w:val="75894543"/>
    <w:rsid w:val="76482ADC"/>
    <w:rsid w:val="766A7ED1"/>
    <w:rsid w:val="767141B2"/>
    <w:rsid w:val="76946CFC"/>
    <w:rsid w:val="76F3598D"/>
    <w:rsid w:val="772C7C67"/>
    <w:rsid w:val="7731279D"/>
    <w:rsid w:val="77701517"/>
    <w:rsid w:val="77723041"/>
    <w:rsid w:val="77BE04D4"/>
    <w:rsid w:val="77F51A1C"/>
    <w:rsid w:val="78056103"/>
    <w:rsid w:val="780D320A"/>
    <w:rsid w:val="784C3D32"/>
    <w:rsid w:val="789C5E5F"/>
    <w:rsid w:val="78AC5EF8"/>
    <w:rsid w:val="78F817C4"/>
    <w:rsid w:val="790E7239"/>
    <w:rsid w:val="797352EE"/>
    <w:rsid w:val="7A794B87"/>
    <w:rsid w:val="7A81642D"/>
    <w:rsid w:val="7A835A05"/>
    <w:rsid w:val="7A8A28F0"/>
    <w:rsid w:val="7AA17C39"/>
    <w:rsid w:val="7AA31C03"/>
    <w:rsid w:val="7AC04563"/>
    <w:rsid w:val="7AC0743F"/>
    <w:rsid w:val="7B0C59FB"/>
    <w:rsid w:val="7B3E732E"/>
    <w:rsid w:val="7B696F09"/>
    <w:rsid w:val="7B6C452B"/>
    <w:rsid w:val="7BF85F7F"/>
    <w:rsid w:val="7C34793A"/>
    <w:rsid w:val="7CA368E7"/>
    <w:rsid w:val="7CF93D5D"/>
    <w:rsid w:val="7D436164"/>
    <w:rsid w:val="7D8775BA"/>
    <w:rsid w:val="7D8C2E23"/>
    <w:rsid w:val="7DE1316F"/>
    <w:rsid w:val="7DE81FDD"/>
    <w:rsid w:val="7E5C7712"/>
    <w:rsid w:val="7E611BB9"/>
    <w:rsid w:val="7E68380E"/>
    <w:rsid w:val="7EA23005"/>
    <w:rsid w:val="7EDC3936"/>
    <w:rsid w:val="7EE7641A"/>
    <w:rsid w:val="7EEA6053"/>
    <w:rsid w:val="7F070BEC"/>
    <w:rsid w:val="7F136DA3"/>
    <w:rsid w:val="7F473F01"/>
    <w:rsid w:val="7F5E259D"/>
    <w:rsid w:val="7FBD3767"/>
    <w:rsid w:val="7FD46D7B"/>
    <w:rsid w:val="7FFD59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39" w:semiHidden="0" w:name="toc 4"/>
    <w:lsdException w:unhideWhenUsed="0" w:uiPriority="39" w:semiHidden="0" w:name="toc 5"/>
    <w:lsdException w:unhideWhenUsed="0" w:uiPriority="39" w:semiHidden="0" w:name="toc 6"/>
    <w:lsdException w:unhideWhenUsed="0" w:uiPriority="39" w:semiHidden="0" w:name="toc 7"/>
    <w:lsdException w:unhideWhenUsed="0" w:uiPriority="39" w:semiHidden="0" w:name="toc 8"/>
    <w:lsdException w:unhideWhenUsed="0" w:uiPriority="39"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0"/>
    <w:autoRedefine/>
    <w:qFormat/>
    <w:uiPriority w:val="0"/>
    <w:pPr>
      <w:keepNext/>
      <w:keepLines/>
      <w:spacing w:line="540" w:lineRule="exact"/>
      <w:ind w:firstLine="640" w:firstLineChars="200"/>
      <w:outlineLvl w:val="0"/>
    </w:pPr>
    <w:rPr>
      <w:rFonts w:eastAsia="黑体"/>
      <w:b/>
      <w:bCs/>
      <w:kern w:val="44"/>
      <w:sz w:val="32"/>
      <w:szCs w:val="44"/>
    </w:rPr>
  </w:style>
  <w:style w:type="paragraph" w:styleId="3">
    <w:name w:val="heading 2"/>
    <w:basedOn w:val="1"/>
    <w:next w:val="1"/>
    <w:autoRedefine/>
    <w:unhideWhenUsed/>
    <w:qFormat/>
    <w:uiPriority w:val="0"/>
    <w:pPr>
      <w:keepNext/>
      <w:keepLines/>
      <w:adjustRightInd w:val="0"/>
      <w:snapToGrid w:val="0"/>
      <w:spacing w:line="540" w:lineRule="exact"/>
      <w:ind w:firstLine="640" w:firstLineChars="200"/>
      <w:outlineLvl w:val="1"/>
    </w:pPr>
    <w:rPr>
      <w:rFonts w:ascii="Arial" w:hAnsi="Arial" w:eastAsia="楷体"/>
      <w:b/>
      <w:sz w:val="32"/>
    </w:rPr>
  </w:style>
  <w:style w:type="paragraph" w:styleId="4">
    <w:name w:val="heading 3"/>
    <w:basedOn w:val="1"/>
    <w:next w:val="1"/>
    <w:link w:val="38"/>
    <w:autoRedefine/>
    <w:unhideWhenUsed/>
    <w:qFormat/>
    <w:uiPriority w:val="9"/>
    <w:pPr>
      <w:keepNext/>
      <w:keepLines/>
      <w:spacing w:line="540" w:lineRule="exact"/>
      <w:ind w:firstLine="643" w:firstLineChars="200"/>
      <w:outlineLvl w:val="2"/>
    </w:pPr>
    <w:rPr>
      <w:rFonts w:ascii="Times New Roman" w:hAnsi="Times New Roman" w:eastAsia="仿宋" w:cs="Times New Roman"/>
      <w:b/>
      <w:sz w:val="32"/>
    </w:rPr>
  </w:style>
  <w:style w:type="paragraph" w:styleId="5">
    <w:name w:val="heading 4"/>
    <w:basedOn w:val="1"/>
    <w:next w:val="1"/>
    <w:link w:val="37"/>
    <w:autoRedefine/>
    <w:unhideWhenUsed/>
    <w:qFormat/>
    <w:uiPriority w:val="9"/>
    <w:pPr>
      <w:keepNext/>
      <w:keepLines/>
      <w:spacing w:line="540" w:lineRule="exact"/>
      <w:ind w:firstLine="640" w:firstLineChars="200"/>
      <w:outlineLvl w:val="3"/>
    </w:pPr>
    <w:rPr>
      <w:rFonts w:ascii="Times New Roman" w:hAnsi="Times New Roman" w:eastAsia="仿宋"/>
      <w:b/>
      <w:sz w:val="28"/>
      <w:szCs w:val="28"/>
    </w:rPr>
  </w:style>
  <w:style w:type="character" w:default="1" w:styleId="18">
    <w:name w:val="Default Paragraph Font"/>
    <w:autoRedefine/>
    <w:semiHidden/>
    <w:unhideWhenUsed/>
    <w:qFormat/>
    <w:uiPriority w:val="1"/>
  </w:style>
  <w:style w:type="table" w:default="1" w:styleId="16">
    <w:name w:val="Normal Table"/>
    <w:autoRedefine/>
    <w:semiHidden/>
    <w:unhideWhenUsed/>
    <w:qFormat/>
    <w:uiPriority w:val="99"/>
    <w:tblPr>
      <w:tblCellMar>
        <w:top w:w="0" w:type="dxa"/>
        <w:left w:w="108" w:type="dxa"/>
        <w:bottom w:w="0" w:type="dxa"/>
        <w:right w:w="108" w:type="dxa"/>
      </w:tblCellMar>
    </w:tblPr>
  </w:style>
  <w:style w:type="paragraph" w:styleId="6">
    <w:name w:val="annotation text"/>
    <w:basedOn w:val="1"/>
    <w:link w:val="39"/>
    <w:autoRedefine/>
    <w:qFormat/>
    <w:uiPriority w:val="0"/>
    <w:pPr>
      <w:jc w:val="left"/>
    </w:pPr>
  </w:style>
  <w:style w:type="paragraph" w:styleId="7">
    <w:name w:val="Body Text"/>
    <w:basedOn w:val="1"/>
    <w:autoRedefine/>
    <w:semiHidden/>
    <w:unhideWhenUsed/>
    <w:qFormat/>
    <w:uiPriority w:val="99"/>
    <w:pPr>
      <w:spacing w:after="120"/>
    </w:pPr>
  </w:style>
  <w:style w:type="paragraph" w:styleId="8">
    <w:name w:val="toc 3"/>
    <w:basedOn w:val="1"/>
    <w:next w:val="1"/>
    <w:autoRedefine/>
    <w:qFormat/>
    <w:uiPriority w:val="39"/>
    <w:pPr>
      <w:ind w:left="840" w:leftChars="400"/>
    </w:pPr>
  </w:style>
  <w:style w:type="paragraph" w:styleId="9">
    <w:name w:val="Balloon Text"/>
    <w:basedOn w:val="1"/>
    <w:link w:val="29"/>
    <w:autoRedefine/>
    <w:qFormat/>
    <w:uiPriority w:val="0"/>
    <w:rPr>
      <w:sz w:val="18"/>
      <w:szCs w:val="18"/>
    </w:rPr>
  </w:style>
  <w:style w:type="paragraph" w:styleId="10">
    <w:name w:val="footer"/>
    <w:basedOn w:val="1"/>
    <w:autoRedefine/>
    <w:qFormat/>
    <w:uiPriority w:val="0"/>
    <w:pPr>
      <w:tabs>
        <w:tab w:val="center" w:pos="4153"/>
        <w:tab w:val="right" w:pos="8306"/>
      </w:tabs>
      <w:snapToGrid w:val="0"/>
      <w:jc w:val="left"/>
    </w:pPr>
    <w:rPr>
      <w:sz w:val="18"/>
    </w:rPr>
  </w:style>
  <w:style w:type="paragraph" w:styleId="11">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2">
    <w:name w:val="toc 1"/>
    <w:basedOn w:val="1"/>
    <w:next w:val="1"/>
    <w:autoRedefine/>
    <w:qFormat/>
    <w:uiPriority w:val="39"/>
  </w:style>
  <w:style w:type="paragraph" w:styleId="13">
    <w:name w:val="toc 2"/>
    <w:basedOn w:val="1"/>
    <w:next w:val="1"/>
    <w:autoRedefine/>
    <w:qFormat/>
    <w:uiPriority w:val="39"/>
    <w:pPr>
      <w:ind w:left="420" w:leftChars="200"/>
    </w:pPr>
  </w:style>
  <w:style w:type="paragraph" w:styleId="14">
    <w:name w:val="Normal (Web)"/>
    <w:basedOn w:val="1"/>
    <w:autoRedefine/>
    <w:qFormat/>
    <w:uiPriority w:val="0"/>
    <w:rPr>
      <w:rFonts w:ascii="Times New Roman" w:hAnsi="Times New Roman" w:cs="Times New Roman"/>
      <w:sz w:val="24"/>
      <w:szCs w:val="24"/>
    </w:rPr>
  </w:style>
  <w:style w:type="paragraph" w:styleId="15">
    <w:name w:val="Body Text First Indent"/>
    <w:basedOn w:val="7"/>
    <w:link w:val="22"/>
    <w:autoRedefine/>
    <w:unhideWhenUsed/>
    <w:qFormat/>
    <w:uiPriority w:val="99"/>
    <w:pPr>
      <w:spacing w:line="540" w:lineRule="exact"/>
      <w:ind w:firstLine="640" w:firstLineChars="200"/>
    </w:pPr>
    <w:rPr>
      <w:rFonts w:ascii="仿宋" w:hAnsi="仿宋" w:eastAsia="仿宋" w:cs="仿宋"/>
      <w:bCs/>
      <w:sz w:val="32"/>
      <w:szCs w:val="32"/>
    </w:rPr>
  </w:style>
  <w:style w:type="table" w:styleId="17">
    <w:name w:val="Table Grid"/>
    <w:basedOn w:val="16"/>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Strong"/>
    <w:autoRedefine/>
    <w:qFormat/>
    <w:uiPriority w:val="0"/>
    <w:rPr>
      <w:b/>
      <w:bCs/>
    </w:rPr>
  </w:style>
  <w:style w:type="character" w:styleId="20">
    <w:name w:val="FollowedHyperlink"/>
    <w:basedOn w:val="18"/>
    <w:autoRedefine/>
    <w:qFormat/>
    <w:uiPriority w:val="0"/>
    <w:rPr>
      <w:color w:val="7E1FAD" w:themeColor="followedHyperlink"/>
      <w:u w:val="single"/>
      <w14:textFill>
        <w14:solidFill>
          <w14:schemeClr w14:val="folHlink"/>
        </w14:solidFill>
      </w14:textFill>
    </w:rPr>
  </w:style>
  <w:style w:type="character" w:styleId="21">
    <w:name w:val="Hyperlink"/>
    <w:basedOn w:val="18"/>
    <w:autoRedefine/>
    <w:qFormat/>
    <w:uiPriority w:val="99"/>
    <w:rPr>
      <w:color w:val="0026E5" w:themeColor="hyperlink"/>
      <w:u w:val="single"/>
      <w14:textFill>
        <w14:solidFill>
          <w14:schemeClr w14:val="hlink"/>
        </w14:solidFill>
      </w14:textFill>
    </w:rPr>
  </w:style>
  <w:style w:type="character" w:customStyle="1" w:styleId="22">
    <w:name w:val="正文首行缩进 Char"/>
    <w:basedOn w:val="18"/>
    <w:link w:val="15"/>
    <w:autoRedefine/>
    <w:qFormat/>
    <w:uiPriority w:val="99"/>
    <w:rPr>
      <w:rFonts w:ascii="仿宋" w:hAnsi="仿宋" w:eastAsia="仿宋" w:cs="仿宋"/>
      <w:bCs/>
      <w:kern w:val="2"/>
      <w:sz w:val="32"/>
      <w:szCs w:val="32"/>
    </w:rPr>
  </w:style>
  <w:style w:type="paragraph" w:styleId="23">
    <w:name w:val="List Paragraph"/>
    <w:basedOn w:val="1"/>
    <w:autoRedefine/>
    <w:qFormat/>
    <w:uiPriority w:val="34"/>
    <w:pPr>
      <w:ind w:firstLine="420" w:firstLineChars="200"/>
    </w:pPr>
  </w:style>
  <w:style w:type="paragraph" w:customStyle="1" w:styleId="24">
    <w:name w:val="WPSOffice手动目录 1"/>
    <w:autoRedefine/>
    <w:qFormat/>
    <w:uiPriority w:val="0"/>
    <w:rPr>
      <w:rFonts w:ascii="Times New Roman" w:hAnsi="Times New Roman" w:eastAsia="宋体" w:cs="Times New Roman"/>
      <w:lang w:val="en-US" w:eastAsia="zh-CN" w:bidi="ar-SA"/>
    </w:rPr>
  </w:style>
  <w:style w:type="paragraph" w:customStyle="1" w:styleId="25">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customStyle="1" w:styleId="26">
    <w:name w:val="WPSOffice手动目录 3"/>
    <w:autoRedefine/>
    <w:qFormat/>
    <w:uiPriority w:val="0"/>
    <w:pPr>
      <w:ind w:left="400" w:leftChars="400"/>
    </w:pPr>
    <w:rPr>
      <w:rFonts w:ascii="Times New Roman" w:hAnsi="Times New Roman" w:eastAsia="宋体" w:cs="Times New Roman"/>
      <w:lang w:val="en-US" w:eastAsia="zh-CN" w:bidi="ar-SA"/>
    </w:rPr>
  </w:style>
  <w:style w:type="paragraph" w:customStyle="1" w:styleId="27">
    <w:name w:val="样式1"/>
    <w:basedOn w:val="1"/>
    <w:autoRedefine/>
    <w:qFormat/>
    <w:uiPriority w:val="0"/>
    <w:pPr>
      <w:adjustRightInd w:val="0"/>
      <w:ind w:firstLine="600"/>
    </w:pPr>
    <w:rPr>
      <w:rFonts w:ascii="仿宋_GB2312" w:hAnsi="仿宋_GB2312" w:cs="仿宋_GB2312"/>
      <w:szCs w:val="30"/>
    </w:rPr>
  </w:style>
  <w:style w:type="paragraph" w:customStyle="1" w:styleId="28">
    <w:name w:val="Table Paragraph"/>
    <w:basedOn w:val="1"/>
    <w:autoRedefine/>
    <w:qFormat/>
    <w:uiPriority w:val="1"/>
    <w:rPr>
      <w:rFonts w:ascii="宋体" w:hAnsi="宋体" w:eastAsia="宋体" w:cs="宋体"/>
      <w:lang w:val="zh-CN" w:bidi="zh-CN"/>
    </w:rPr>
  </w:style>
  <w:style w:type="character" w:customStyle="1" w:styleId="29">
    <w:name w:val="批注框文本 Char"/>
    <w:basedOn w:val="18"/>
    <w:link w:val="9"/>
    <w:autoRedefine/>
    <w:qFormat/>
    <w:uiPriority w:val="0"/>
    <w:rPr>
      <w:rFonts w:asciiTheme="minorHAnsi" w:hAnsiTheme="minorHAnsi" w:eastAsiaTheme="minorEastAsia" w:cstheme="minorBidi"/>
      <w:kern w:val="2"/>
      <w:sz w:val="18"/>
      <w:szCs w:val="18"/>
    </w:rPr>
  </w:style>
  <w:style w:type="character" w:customStyle="1" w:styleId="30">
    <w:name w:val="标题 1 Char"/>
    <w:basedOn w:val="18"/>
    <w:link w:val="2"/>
    <w:autoRedefine/>
    <w:qFormat/>
    <w:uiPriority w:val="0"/>
    <w:rPr>
      <w:rFonts w:eastAsia="黑体" w:asciiTheme="minorHAnsi" w:hAnsiTheme="minorHAnsi" w:cstheme="minorBidi"/>
      <w:b/>
      <w:bCs/>
      <w:kern w:val="44"/>
      <w:sz w:val="32"/>
      <w:szCs w:val="44"/>
    </w:rPr>
  </w:style>
  <w:style w:type="table" w:customStyle="1" w:styleId="31">
    <w:name w:val="网格型1"/>
    <w:basedOn w:val="16"/>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2">
    <w:name w:val="网格型2"/>
    <w:basedOn w:val="16"/>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
    <w:name w:val="网格型3"/>
    <w:basedOn w:val="16"/>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4">
    <w:name w:val="Table Normal"/>
    <w:autoRedefine/>
    <w:semiHidden/>
    <w:unhideWhenUsed/>
    <w:qFormat/>
    <w:uiPriority w:val="2"/>
    <w:pPr>
      <w:widowControl w:val="0"/>
      <w:autoSpaceDE w:val="0"/>
      <w:autoSpaceDN w:val="0"/>
    </w:pPr>
    <w:rPr>
      <w:rFonts w:asciiTheme="minorHAnsi" w:hAnsiTheme="minorHAnsi" w:eastAsiaTheme="minorEastAsia" w:cstheme="minorBidi"/>
      <w:sz w:val="22"/>
      <w:lang w:eastAsia="en-US"/>
    </w:rPr>
    <w:tblPr>
      <w:tblCellMar>
        <w:top w:w="0" w:type="dxa"/>
        <w:left w:w="0" w:type="dxa"/>
        <w:bottom w:w="0" w:type="dxa"/>
        <w:right w:w="0" w:type="dxa"/>
      </w:tblCellMar>
    </w:tblPr>
  </w:style>
  <w:style w:type="table" w:customStyle="1" w:styleId="35">
    <w:name w:val="网格型4"/>
    <w:basedOn w:val="16"/>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6">
    <w:name w:val="网格型5"/>
    <w:basedOn w:val="16"/>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7">
    <w:name w:val="标题 4 Char"/>
    <w:link w:val="5"/>
    <w:autoRedefine/>
    <w:qFormat/>
    <w:uiPriority w:val="9"/>
    <w:rPr>
      <w:rFonts w:ascii="Times New Roman" w:hAnsi="Times New Roman" w:eastAsia="仿宋"/>
      <w:b/>
      <w:sz w:val="28"/>
      <w:szCs w:val="28"/>
    </w:rPr>
  </w:style>
  <w:style w:type="character" w:customStyle="1" w:styleId="38">
    <w:name w:val="标题 3 Char"/>
    <w:basedOn w:val="18"/>
    <w:link w:val="4"/>
    <w:autoRedefine/>
    <w:qFormat/>
    <w:uiPriority w:val="9"/>
    <w:rPr>
      <w:rFonts w:eastAsia="仿宋"/>
      <w:b/>
      <w:kern w:val="2"/>
      <w:sz w:val="32"/>
      <w:szCs w:val="22"/>
    </w:rPr>
  </w:style>
  <w:style w:type="character" w:customStyle="1" w:styleId="39">
    <w:name w:val="批注文字 Char"/>
    <w:basedOn w:val="18"/>
    <w:link w:val="6"/>
    <w:autoRedefine/>
    <w:qFormat/>
    <w:uiPriority w:val="0"/>
    <w:rPr>
      <w:rFonts w:asciiTheme="minorHAnsi" w:hAnsiTheme="minorHAnsi" w:eastAsiaTheme="minorEastAsia" w:cstheme="minorBidi"/>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DD0B045-0AE1-449B-B792-B17B13890018}">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175</Pages>
  <Words>19464</Words>
  <Characters>110950</Characters>
  <Lines>924</Lines>
  <Paragraphs>260</Paragraphs>
  <TotalTime>66</TotalTime>
  <ScaleCrop>false</ScaleCrop>
  <LinksUpToDate>false</LinksUpToDate>
  <CharactersWithSpaces>130154</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2023-12-14T08:58:00Z</dcterms:created>
  <dc:creator>Yves</dc:creator>
  <cp:lastModifiedBy>Supercorn       </cp:lastModifiedBy>
  <cp:lastPrinted>2024-03-29T07:42:00Z</cp:lastPrinted>
  <dcterms:modified xsi:type="dcterms:W3CDTF">2024-04-29T03:38:57Z</dcterms:modified>
  <cp:revision>2026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6B64C683DBD94F4FA8B60D5A90FE082F_13</vt:lpwstr>
  </property>
</Properties>
</file>